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r>
        <w:rPr>
          <w:sz w:val="20"/>
        </w:rPr>
        <w:drawing>
          <wp:anchor distT="0" distB="0" distL="0" distR="0" allowOverlap="1" layoutInCell="1" locked="0" behindDoc="0" simplePos="0" relativeHeight="15729664">
            <wp:simplePos x="0" y="0"/>
            <wp:positionH relativeFrom="page">
              <wp:posOffset>0</wp:posOffset>
            </wp:positionH>
            <wp:positionV relativeFrom="page">
              <wp:posOffset>10112905</wp:posOffset>
            </wp:positionV>
            <wp:extent cx="7560360" cy="57909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560360" cy="579094"/>
                    </a:xfrm>
                    <a:prstGeom prst="rect">
                      <a:avLst/>
                    </a:prstGeom>
                  </pic:spPr>
                </pic:pic>
              </a:graphicData>
            </a:graphic>
          </wp:anchor>
        </w:drawing>
      </w:r>
    </w:p>
    <w:p>
      <w:pPr>
        <w:pStyle w:val="BodyText"/>
        <w:rPr>
          <w:sz w:val="20"/>
        </w:rPr>
      </w:pPr>
    </w:p>
    <w:p>
      <w:pPr>
        <w:pStyle w:val="BodyText"/>
        <w:rPr>
          <w:sz w:val="20"/>
        </w:rPr>
      </w:pPr>
    </w:p>
    <w:p>
      <w:pPr>
        <w:pStyle w:val="BodyText"/>
        <w:spacing w:before="20"/>
        <w:rPr>
          <w:sz w:val="20"/>
        </w:rPr>
      </w:pPr>
    </w:p>
    <w:p>
      <w:pPr>
        <w:spacing w:line="376" w:lineRule="auto" w:before="0"/>
        <w:ind w:left="8015" w:right="137" w:firstLine="54"/>
        <w:jc w:val="right"/>
        <w:rPr>
          <w:rFonts w:ascii="Cambria"/>
          <w:b/>
          <w:sz w:val="20"/>
        </w:rPr>
      </w:pPr>
      <w:r>
        <w:rPr>
          <w:rFonts w:ascii="Cambria"/>
          <w:b/>
          <w:sz w:val="20"/>
        </w:rPr>
        <w:drawing>
          <wp:anchor distT="0" distB="0" distL="0" distR="0" allowOverlap="1" layoutInCell="1" locked="0" behindDoc="0" simplePos="0" relativeHeight="15729152">
            <wp:simplePos x="0" y="0"/>
            <wp:positionH relativeFrom="page">
              <wp:posOffset>1477900</wp:posOffset>
            </wp:positionH>
            <wp:positionV relativeFrom="paragraph">
              <wp:posOffset>-590784</wp:posOffset>
            </wp:positionV>
            <wp:extent cx="2192571" cy="84052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192571" cy="840528"/>
                    </a:xfrm>
                    <a:prstGeom prst="rect">
                      <a:avLst/>
                    </a:prstGeom>
                  </pic:spPr>
                </pic:pic>
              </a:graphicData>
            </a:graphic>
          </wp:anchor>
        </w:drawing>
      </w:r>
      <w:r>
        <w:rPr>
          <w:rFonts w:ascii="Cambria"/>
          <w:b/>
          <w:spacing w:val="-6"/>
          <w:sz w:val="20"/>
        </w:rPr>
        <w:t>OP24-</w:t>
      </w:r>
      <w:r>
        <w:rPr>
          <w:rFonts w:ascii="Cambria"/>
          <w:b/>
          <w:spacing w:val="-6"/>
          <w:sz w:val="20"/>
        </w:rPr>
        <w:t>4016</w:t>
      </w:r>
      <w:r>
        <w:rPr>
          <w:rFonts w:ascii="Cambria"/>
          <w:b/>
          <w:spacing w:val="-2"/>
          <w:sz w:val="20"/>
        </w:rPr>
        <w:t> </w:t>
      </w:r>
      <w:r>
        <w:rPr>
          <w:rFonts w:ascii="Cambria"/>
          <w:b/>
          <w:spacing w:val="-2"/>
          <w:w w:val="90"/>
          <w:sz w:val="20"/>
        </w:rPr>
        <w:t>25/04/2025</w:t>
      </w:r>
    </w:p>
    <w:p>
      <w:pPr>
        <w:pStyle w:val="BodyText"/>
        <w:spacing w:before="170"/>
        <w:rPr>
          <w:rFonts w:ascii="Cambria"/>
          <w:b/>
          <w:sz w:val="32"/>
        </w:rPr>
      </w:pPr>
    </w:p>
    <w:p>
      <w:pPr>
        <w:pStyle w:val="Title"/>
        <w:spacing w:before="1"/>
      </w:pPr>
      <w:r>
        <w:rPr>
          <w:spacing w:val="-2"/>
          <w:w w:val="105"/>
        </w:rPr>
        <w:t>DÉCISION</w:t>
      </w:r>
    </w:p>
    <w:p>
      <w:pPr>
        <w:pStyle w:val="BodyText"/>
        <w:spacing w:before="147"/>
        <w:rPr>
          <w:rFonts w:ascii="Cambria"/>
          <w:b/>
          <w:sz w:val="32"/>
        </w:rPr>
      </w:pPr>
    </w:p>
    <w:p>
      <w:pPr>
        <w:pStyle w:val="Title"/>
      </w:pPr>
      <w:r>
        <w:rPr>
          <w:w w:val="105"/>
        </w:rPr>
        <w:t>STATUANT</w:t>
      </w:r>
      <w:r>
        <w:rPr>
          <w:spacing w:val="-12"/>
          <w:w w:val="105"/>
        </w:rPr>
        <w:t> </w:t>
      </w:r>
      <w:r>
        <w:rPr>
          <w:w w:val="105"/>
        </w:rPr>
        <w:t>SUR</w:t>
      </w:r>
      <w:r>
        <w:rPr>
          <w:spacing w:val="-11"/>
          <w:w w:val="105"/>
        </w:rPr>
        <w:t> </w:t>
      </w:r>
      <w:r>
        <w:rPr>
          <w:w w:val="105"/>
        </w:rPr>
        <w:t>UNE</w:t>
      </w:r>
      <w:r>
        <w:rPr>
          <w:spacing w:val="-12"/>
          <w:w w:val="105"/>
        </w:rPr>
        <w:t> </w:t>
      </w:r>
      <w:r>
        <w:rPr>
          <w:spacing w:val="-2"/>
          <w:w w:val="105"/>
        </w:rPr>
        <w:t>OPPOSITION</w:t>
      </w:r>
    </w:p>
    <w:p>
      <w:pPr>
        <w:pStyle w:val="BodyText"/>
        <w:rPr>
          <w:rFonts w:ascii="Cambria"/>
          <w:b/>
          <w:sz w:val="32"/>
        </w:rPr>
      </w:pPr>
    </w:p>
    <w:p>
      <w:pPr>
        <w:pStyle w:val="BodyText"/>
        <w:spacing w:before="139"/>
        <w:rPr>
          <w:rFonts w:ascii="Cambria"/>
          <w:b/>
          <w:sz w:val="32"/>
        </w:rPr>
      </w:pPr>
    </w:p>
    <w:p>
      <w:pPr>
        <w:spacing w:before="0"/>
        <w:ind w:left="2" w:right="138" w:firstLine="0"/>
        <w:jc w:val="center"/>
        <w:rPr>
          <w:rFonts w:ascii="Cambria"/>
          <w:b/>
          <w:sz w:val="28"/>
        </w:rPr>
      </w:pPr>
      <w:r>
        <w:rPr>
          <w:rFonts w:ascii="Cambria"/>
          <w:b/>
          <w:spacing w:val="-4"/>
          <w:sz w:val="28"/>
        </w:rPr>
        <w:t>****</w:t>
      </w:r>
    </w:p>
    <w:p>
      <w:pPr>
        <w:pStyle w:val="BodyText"/>
        <w:spacing w:before="87"/>
        <w:rPr>
          <w:rFonts w:ascii="Cambria"/>
          <w:b/>
          <w:sz w:val="28"/>
        </w:rPr>
      </w:pPr>
    </w:p>
    <w:p>
      <w:pPr>
        <w:pStyle w:val="BodyText"/>
        <w:ind w:left="3" w:firstLine="708"/>
      </w:pPr>
      <w:r>
        <w:rPr/>
        <w:t>LE</w:t>
      </w:r>
      <w:r>
        <w:rPr>
          <w:spacing w:val="40"/>
        </w:rPr>
        <w:t> </w:t>
      </w:r>
      <w:r>
        <w:rPr/>
        <w:t>DIRECTEUR</w:t>
      </w:r>
      <w:r>
        <w:rPr>
          <w:spacing w:val="40"/>
        </w:rPr>
        <w:t> </w:t>
      </w:r>
      <w:r>
        <w:rPr/>
        <w:t>GENERAL</w:t>
      </w:r>
      <w:r>
        <w:rPr>
          <w:spacing w:val="40"/>
        </w:rPr>
        <w:t> </w:t>
      </w:r>
      <w:r>
        <w:rPr/>
        <w:t>DE</w:t>
      </w:r>
      <w:r>
        <w:rPr>
          <w:spacing w:val="40"/>
        </w:rPr>
        <w:t> </w:t>
      </w:r>
      <w:r>
        <w:rPr/>
        <w:t>L'INSTITUT</w:t>
      </w:r>
      <w:r>
        <w:rPr>
          <w:spacing w:val="40"/>
        </w:rPr>
        <w:t> </w:t>
      </w:r>
      <w:r>
        <w:rPr/>
        <w:t>NATIONAL</w:t>
      </w:r>
      <w:r>
        <w:rPr>
          <w:spacing w:val="40"/>
        </w:rPr>
        <w:t> </w:t>
      </w:r>
      <w:r>
        <w:rPr/>
        <w:t>DE</w:t>
      </w:r>
      <w:r>
        <w:rPr>
          <w:spacing w:val="40"/>
        </w:rPr>
        <w:t> </w:t>
      </w:r>
      <w:r>
        <w:rPr/>
        <w:t>LA</w:t>
      </w:r>
      <w:r>
        <w:rPr>
          <w:spacing w:val="40"/>
        </w:rPr>
        <w:t> </w:t>
      </w:r>
      <w:r>
        <w:rPr/>
        <w:t>PROPRIETE INDUSTRIELLE ;</w:t>
      </w:r>
    </w:p>
    <w:p>
      <w:pPr>
        <w:pStyle w:val="BodyText"/>
      </w:pPr>
    </w:p>
    <w:p>
      <w:pPr>
        <w:pStyle w:val="BodyText"/>
        <w:spacing w:before="238"/>
      </w:pPr>
    </w:p>
    <w:p>
      <w:pPr>
        <w:pStyle w:val="BodyText"/>
        <w:spacing w:line="280" w:lineRule="auto"/>
        <w:ind w:left="3" w:right="152" w:firstLine="566"/>
        <w:jc w:val="both"/>
      </w:pPr>
      <w:r>
        <w:rPr>
          <w:rFonts w:ascii="Cambria" w:hAnsi="Cambria"/>
          <w:b/>
        </w:rPr>
        <w:t>Vu</w:t>
      </w:r>
      <w:r>
        <w:rPr>
          <w:rFonts w:ascii="Cambria" w:hAnsi="Cambria"/>
          <w:b/>
          <w:spacing w:val="35"/>
        </w:rPr>
        <w:t> </w:t>
      </w:r>
      <w:r>
        <w:rPr/>
        <w:t>le</w:t>
      </w:r>
      <w:r>
        <w:rPr>
          <w:spacing w:val="29"/>
        </w:rPr>
        <w:t> </w:t>
      </w:r>
      <w:r>
        <w:rPr/>
        <w:t>code</w:t>
      </w:r>
      <w:r>
        <w:rPr>
          <w:spacing w:val="28"/>
        </w:rPr>
        <w:t> </w:t>
      </w:r>
      <w:r>
        <w:rPr/>
        <w:t>de</w:t>
      </w:r>
      <w:r>
        <w:rPr>
          <w:spacing w:val="29"/>
        </w:rPr>
        <w:t> </w:t>
      </w:r>
      <w:r>
        <w:rPr/>
        <w:t>la</w:t>
      </w:r>
      <w:r>
        <w:rPr>
          <w:spacing w:val="28"/>
        </w:rPr>
        <w:t> </w:t>
      </w:r>
      <w:r>
        <w:rPr/>
        <w:t>propriété</w:t>
      </w:r>
      <w:r>
        <w:rPr>
          <w:spacing w:val="29"/>
        </w:rPr>
        <w:t> </w:t>
      </w:r>
      <w:r>
        <w:rPr/>
        <w:t>intellectuelle</w:t>
      </w:r>
      <w:r>
        <w:rPr>
          <w:spacing w:val="31"/>
        </w:rPr>
        <w:t> </w:t>
      </w:r>
      <w:r>
        <w:rPr/>
        <w:t>et</w:t>
      </w:r>
      <w:r>
        <w:rPr>
          <w:spacing w:val="29"/>
        </w:rPr>
        <w:t> </w:t>
      </w:r>
      <w:r>
        <w:rPr/>
        <w:t>notamment</w:t>
      </w:r>
      <w:r>
        <w:rPr>
          <w:spacing w:val="29"/>
        </w:rPr>
        <w:t> </w:t>
      </w:r>
      <w:r>
        <w:rPr/>
        <w:t>ses</w:t>
      </w:r>
      <w:r>
        <w:rPr>
          <w:spacing w:val="29"/>
        </w:rPr>
        <w:t> </w:t>
      </w:r>
      <w:r>
        <w:rPr/>
        <w:t>articles</w:t>
      </w:r>
      <w:r>
        <w:rPr>
          <w:spacing w:val="31"/>
        </w:rPr>
        <w:t> </w:t>
      </w:r>
      <w:r>
        <w:rPr/>
        <w:t>L</w:t>
      </w:r>
      <w:r>
        <w:rPr>
          <w:spacing w:val="29"/>
        </w:rPr>
        <w:t> </w:t>
      </w:r>
      <w:r>
        <w:rPr/>
        <w:t>411-4,</w:t>
      </w:r>
      <w:r>
        <w:rPr>
          <w:spacing w:val="28"/>
        </w:rPr>
        <w:t> </w:t>
      </w:r>
      <w:r>
        <w:rPr/>
        <w:t>L</w:t>
      </w:r>
      <w:r>
        <w:rPr>
          <w:spacing w:val="28"/>
        </w:rPr>
        <w:t> </w:t>
      </w:r>
      <w:r>
        <w:rPr/>
        <w:t>411-5, L</w:t>
      </w:r>
      <w:r>
        <w:rPr>
          <w:spacing w:val="7"/>
        </w:rPr>
        <w:t> </w:t>
      </w:r>
      <w:r>
        <w:rPr/>
        <w:t>712-3</w:t>
      </w:r>
      <w:r>
        <w:rPr>
          <w:spacing w:val="9"/>
        </w:rPr>
        <w:t> </w:t>
      </w:r>
      <w:r>
        <w:rPr/>
        <w:t>à</w:t>
      </w:r>
      <w:r>
        <w:rPr>
          <w:spacing w:val="9"/>
        </w:rPr>
        <w:t> </w:t>
      </w:r>
      <w:r>
        <w:rPr/>
        <w:t>L</w:t>
      </w:r>
      <w:r>
        <w:rPr>
          <w:spacing w:val="10"/>
        </w:rPr>
        <w:t> </w:t>
      </w:r>
      <w:r>
        <w:rPr/>
        <w:t>712-5-1,</w:t>
      </w:r>
      <w:r>
        <w:rPr>
          <w:spacing w:val="9"/>
        </w:rPr>
        <w:t> </w:t>
      </w:r>
      <w:r>
        <w:rPr/>
        <w:t>L</w:t>
      </w:r>
      <w:r>
        <w:rPr>
          <w:spacing w:val="8"/>
        </w:rPr>
        <w:t> </w:t>
      </w:r>
      <w:r>
        <w:rPr/>
        <w:t>712-7,</w:t>
      </w:r>
      <w:r>
        <w:rPr>
          <w:spacing w:val="9"/>
        </w:rPr>
        <w:t> </w:t>
      </w:r>
      <w:r>
        <w:rPr/>
        <w:t>L-713-2,</w:t>
      </w:r>
      <w:r>
        <w:rPr>
          <w:spacing w:val="9"/>
        </w:rPr>
        <w:t> </w:t>
      </w:r>
      <w:r>
        <w:rPr/>
        <w:t>L</w:t>
      </w:r>
      <w:r>
        <w:rPr>
          <w:spacing w:val="10"/>
        </w:rPr>
        <w:t> </w:t>
      </w:r>
      <w:r>
        <w:rPr/>
        <w:t>713-3,</w:t>
      </w:r>
      <w:r>
        <w:rPr>
          <w:spacing w:val="9"/>
        </w:rPr>
        <w:t> </w:t>
      </w:r>
      <w:r>
        <w:rPr/>
        <w:t>R</w:t>
      </w:r>
      <w:r>
        <w:rPr>
          <w:spacing w:val="9"/>
        </w:rPr>
        <w:t> </w:t>
      </w:r>
      <w:r>
        <w:rPr/>
        <w:t>411-17,</w:t>
      </w:r>
      <w:r>
        <w:rPr>
          <w:spacing w:val="9"/>
        </w:rPr>
        <w:t> </w:t>
      </w:r>
      <w:r>
        <w:rPr/>
        <w:t>R</w:t>
      </w:r>
      <w:r>
        <w:rPr>
          <w:spacing w:val="9"/>
        </w:rPr>
        <w:t> </w:t>
      </w:r>
      <w:r>
        <w:rPr/>
        <w:t>712-13</w:t>
      </w:r>
      <w:r>
        <w:rPr>
          <w:spacing w:val="9"/>
        </w:rPr>
        <w:t> </w:t>
      </w:r>
      <w:r>
        <w:rPr/>
        <w:t>à</w:t>
      </w:r>
      <w:r>
        <w:rPr>
          <w:spacing w:val="8"/>
        </w:rPr>
        <w:t> </w:t>
      </w:r>
      <w:r>
        <w:rPr/>
        <w:t>R</w:t>
      </w:r>
      <w:r>
        <w:rPr>
          <w:spacing w:val="9"/>
        </w:rPr>
        <w:t> </w:t>
      </w:r>
      <w:r>
        <w:rPr/>
        <w:t>712-19,</w:t>
      </w:r>
      <w:r>
        <w:rPr>
          <w:spacing w:val="9"/>
        </w:rPr>
        <w:t> </w:t>
      </w:r>
      <w:r>
        <w:rPr/>
        <w:t>R</w:t>
      </w:r>
      <w:r>
        <w:rPr>
          <w:spacing w:val="9"/>
        </w:rPr>
        <w:t> </w:t>
      </w:r>
      <w:r>
        <w:rPr/>
        <w:t>712-</w:t>
      </w:r>
      <w:r>
        <w:rPr>
          <w:spacing w:val="-5"/>
        </w:rPr>
        <w:t>21,</w:t>
      </w:r>
    </w:p>
    <w:p>
      <w:pPr>
        <w:pStyle w:val="BodyText"/>
        <w:spacing w:line="252" w:lineRule="exact"/>
        <w:ind w:left="3"/>
        <w:jc w:val="both"/>
      </w:pPr>
      <w:r>
        <w:rPr/>
        <w:t>R</w:t>
      </w:r>
      <w:r>
        <w:rPr>
          <w:spacing w:val="-2"/>
        </w:rPr>
        <w:t> </w:t>
      </w:r>
      <w:r>
        <w:rPr/>
        <w:t>712-26 et</w:t>
      </w:r>
      <w:r>
        <w:rPr>
          <w:spacing w:val="-1"/>
        </w:rPr>
        <w:t> </w:t>
      </w:r>
      <w:r>
        <w:rPr/>
        <w:t>R</w:t>
      </w:r>
      <w:r>
        <w:rPr>
          <w:spacing w:val="-1"/>
        </w:rPr>
        <w:t> </w:t>
      </w:r>
      <w:r>
        <w:rPr/>
        <w:t>718-2 à</w:t>
      </w:r>
      <w:r>
        <w:rPr>
          <w:spacing w:val="1"/>
        </w:rPr>
        <w:t> </w:t>
      </w:r>
      <w:r>
        <w:rPr/>
        <w:t>R</w:t>
      </w:r>
      <w:r>
        <w:rPr>
          <w:spacing w:val="-1"/>
        </w:rPr>
        <w:t> </w:t>
      </w:r>
      <w:r>
        <w:rPr/>
        <w:t>718-5 </w:t>
      </w:r>
      <w:r>
        <w:rPr>
          <w:spacing w:val="-10"/>
        </w:rPr>
        <w:t>;</w:t>
      </w:r>
    </w:p>
    <w:p>
      <w:pPr>
        <w:pStyle w:val="BodyText"/>
        <w:spacing w:line="280" w:lineRule="auto" w:before="202"/>
        <w:ind w:left="3" w:right="148" w:firstLine="566"/>
        <w:jc w:val="both"/>
      </w:pPr>
      <w:r>
        <w:rPr>
          <w:rFonts w:ascii="Cambria" w:hAnsi="Cambria"/>
          <w:b/>
        </w:rPr>
        <w:t>Vu </w:t>
      </w:r>
      <w:r>
        <w:rPr/>
        <w:t>l’arrêté du 24 avril 2008 modifié, relatif aux redevances de procédure perçues par l'Institut national de la propriété industrielle ;</w:t>
      </w:r>
    </w:p>
    <w:p>
      <w:pPr>
        <w:pStyle w:val="BodyText"/>
        <w:spacing w:line="271" w:lineRule="auto" w:before="158"/>
        <w:ind w:left="3" w:right="155" w:firstLine="566"/>
        <w:jc w:val="both"/>
      </w:pPr>
      <w:r>
        <w:rPr>
          <w:rFonts w:ascii="Cambria" w:hAnsi="Cambria"/>
          <w:b/>
        </w:rPr>
        <w:t>Vu</w:t>
      </w:r>
      <w:r>
        <w:rPr>
          <w:rFonts w:ascii="Cambria" w:hAnsi="Cambria"/>
          <w:b/>
          <w:spacing w:val="20"/>
        </w:rPr>
        <w:t> </w:t>
      </w:r>
      <w:r>
        <w:rPr/>
        <w:t>la décision modifiée n° 2014-142 bis du Directeur Général de l'Institut National de la Propriété Industrielle relative aux conditions de présentation et au contenu du dossier des demandes d'enregistrement de marques ;</w:t>
      </w:r>
    </w:p>
    <w:p>
      <w:pPr>
        <w:pStyle w:val="BodyText"/>
        <w:spacing w:line="271" w:lineRule="auto" w:before="165"/>
        <w:ind w:left="3" w:right="153" w:firstLine="566"/>
        <w:jc w:val="both"/>
      </w:pPr>
      <w:r>
        <w:rPr>
          <w:rFonts w:ascii="Cambria" w:hAnsi="Cambria"/>
          <w:b/>
        </w:rPr>
        <w:t>Vu </w:t>
      </w:r>
      <w:r>
        <w:rPr/>
        <w:t>la décision n° 2019-158 du Directeur Général de l'Institut National de la Propriété Industrielle relative aux modalités de la procédure d’opposition à enregistrement d’une </w:t>
      </w:r>
      <w:r>
        <w:rPr>
          <w:spacing w:val="-2"/>
        </w:rPr>
        <w:t>marque.</w:t>
      </w:r>
    </w:p>
    <w:p>
      <w:pPr>
        <w:pStyle w:val="BodyText"/>
      </w:pPr>
    </w:p>
    <w:p>
      <w:pPr>
        <w:pStyle w:val="BodyText"/>
        <w:spacing w:before="6"/>
      </w:pPr>
    </w:p>
    <w:p>
      <w:pPr>
        <w:pStyle w:val="Heading1"/>
        <w:jc w:val="both"/>
      </w:pPr>
      <w:r>
        <w:rPr>
          <w:w w:val="105"/>
        </w:rPr>
        <w:t>I.-</w:t>
      </w:r>
      <w:r>
        <w:rPr>
          <w:spacing w:val="-6"/>
          <w:w w:val="105"/>
        </w:rPr>
        <w:t> </w:t>
      </w:r>
      <w:r>
        <w:rPr>
          <w:w w:val="105"/>
        </w:rPr>
        <w:t>FAITS</w:t>
      </w:r>
      <w:r>
        <w:rPr>
          <w:spacing w:val="-6"/>
          <w:w w:val="105"/>
        </w:rPr>
        <w:t> </w:t>
      </w:r>
      <w:r>
        <w:rPr>
          <w:w w:val="105"/>
        </w:rPr>
        <w:t>ET</w:t>
      </w:r>
      <w:r>
        <w:rPr>
          <w:spacing w:val="-6"/>
          <w:w w:val="105"/>
        </w:rPr>
        <w:t> </w:t>
      </w:r>
      <w:r>
        <w:rPr>
          <w:spacing w:val="-2"/>
          <w:w w:val="105"/>
        </w:rPr>
        <w:t>PROCÉDURE</w:t>
      </w:r>
    </w:p>
    <w:p>
      <w:pPr>
        <w:pStyle w:val="BodyText"/>
        <w:spacing w:before="21"/>
        <w:rPr>
          <w:rFonts w:ascii="Cambria"/>
          <w:b/>
        </w:rPr>
      </w:pPr>
    </w:p>
    <w:p>
      <w:pPr>
        <w:pStyle w:val="BodyText"/>
        <w:ind w:left="3" w:right="142"/>
        <w:jc w:val="both"/>
      </w:pPr>
      <w:r>
        <w:rPr/>
        <w:t>La</w:t>
      </w:r>
      <w:r>
        <w:rPr>
          <w:spacing w:val="-2"/>
        </w:rPr>
        <w:t> </w:t>
      </w:r>
      <w:r>
        <w:rPr/>
        <w:t>société SCI</w:t>
      </w:r>
      <w:r>
        <w:rPr>
          <w:spacing w:val="-2"/>
        </w:rPr>
        <w:t> </w:t>
      </w:r>
      <w:r>
        <w:rPr/>
        <w:t>SAUVAGEONS (Société civile immobilière)</w:t>
      </w:r>
      <w:r>
        <w:rPr>
          <w:spacing w:val="-2"/>
        </w:rPr>
        <w:t> </w:t>
      </w:r>
      <w:r>
        <w:rPr/>
        <w:t>a</w:t>
      </w:r>
      <w:r>
        <w:rPr>
          <w:spacing w:val="-2"/>
        </w:rPr>
        <w:t> </w:t>
      </w:r>
      <w:r>
        <w:rPr/>
        <w:t>déposé,</w:t>
      </w:r>
      <w:r>
        <w:rPr>
          <w:spacing w:val="-2"/>
        </w:rPr>
        <w:t> </w:t>
      </w:r>
      <w:r>
        <w:rPr/>
        <w:t>le</w:t>
      </w:r>
      <w:r>
        <w:rPr>
          <w:spacing w:val="-1"/>
        </w:rPr>
        <w:t> </w:t>
      </w:r>
      <w:r>
        <w:rPr/>
        <w:t>4</w:t>
      </w:r>
      <w:r>
        <w:rPr>
          <w:spacing w:val="-2"/>
        </w:rPr>
        <w:t> </w:t>
      </w:r>
      <w:r>
        <w:rPr/>
        <w:t>septembre</w:t>
      </w:r>
      <w:r>
        <w:rPr>
          <w:spacing w:val="-1"/>
        </w:rPr>
        <w:t> </w:t>
      </w:r>
      <w:r>
        <w:rPr/>
        <w:t>2024</w:t>
      </w:r>
      <w:r>
        <w:rPr>
          <w:spacing w:val="-2"/>
        </w:rPr>
        <w:t> </w:t>
      </w:r>
      <w:r>
        <w:rPr/>
        <w:t>la demande d’enregistrement n°5079761 portant sur le signe verbal L'APPARTEMENT </w:t>
      </w:r>
      <w:r>
        <w:rPr>
          <w:spacing w:val="-2"/>
        </w:rPr>
        <w:t>SAUVAGE.</w:t>
      </w:r>
    </w:p>
    <w:p>
      <w:pPr>
        <w:pStyle w:val="BodyText"/>
      </w:pPr>
    </w:p>
    <w:p>
      <w:pPr>
        <w:pStyle w:val="BodyText"/>
        <w:ind w:left="3" w:right="142"/>
        <w:jc w:val="both"/>
      </w:pPr>
      <w:r>
        <w:rPr/>
        <w:t>Le 27 novembre 2024, la société PARFUMS CHRISTIAN DIOR (société anonyme) a formé opposition à</w:t>
      </w:r>
      <w:r>
        <w:rPr>
          <w:spacing w:val="-1"/>
        </w:rPr>
        <w:t> </w:t>
      </w:r>
      <w:r>
        <w:rPr/>
        <w:t>l’enregistrement de</w:t>
      </w:r>
      <w:r>
        <w:rPr>
          <w:spacing w:val="-2"/>
        </w:rPr>
        <w:t> </w:t>
      </w:r>
      <w:r>
        <w:rPr/>
        <w:t>cette marque sur le</w:t>
      </w:r>
      <w:r>
        <w:rPr>
          <w:spacing w:val="-1"/>
        </w:rPr>
        <w:t> </w:t>
      </w:r>
      <w:r>
        <w:rPr/>
        <w:t>fondement</w:t>
      </w:r>
      <w:r>
        <w:rPr>
          <w:spacing w:val="-1"/>
        </w:rPr>
        <w:t> </w:t>
      </w:r>
      <w:r>
        <w:rPr/>
        <w:t>de</w:t>
      </w:r>
      <w:r>
        <w:rPr>
          <w:spacing w:val="-1"/>
        </w:rPr>
        <w:t> </w:t>
      </w:r>
      <w:r>
        <w:rPr/>
        <w:t>l’atteinte à</w:t>
      </w:r>
      <w:r>
        <w:rPr>
          <w:spacing w:val="-1"/>
        </w:rPr>
        <w:t> </w:t>
      </w:r>
      <w:r>
        <w:rPr/>
        <w:t>la</w:t>
      </w:r>
      <w:r>
        <w:rPr>
          <w:spacing w:val="-1"/>
        </w:rPr>
        <w:t> </w:t>
      </w:r>
      <w:r>
        <w:rPr/>
        <w:t>renommée de</w:t>
      </w:r>
    </w:p>
    <w:p>
      <w:pPr>
        <w:spacing w:before="231"/>
        <w:ind w:left="3" w:right="0" w:firstLine="0"/>
        <w:jc w:val="left"/>
        <w:rPr>
          <w:rFonts w:ascii="Arial" w:hAnsi="Arial"/>
          <w:b/>
          <w:sz w:val="14"/>
        </w:rPr>
      </w:pPr>
      <w:r>
        <w:rPr>
          <w:rFonts w:ascii="Arial" w:hAnsi="Arial"/>
          <w:b/>
          <w:color w:val="585858"/>
          <w:spacing w:val="-2"/>
          <w:sz w:val="14"/>
        </w:rPr>
        <w:t>Siège</w:t>
      </w:r>
    </w:p>
    <w:p>
      <w:pPr>
        <w:spacing w:before="1"/>
        <w:ind w:left="3" w:right="6566" w:firstLine="0"/>
        <w:jc w:val="left"/>
        <w:rPr>
          <w:rFonts w:ascii="Arial MT" w:hAnsi="Arial MT"/>
          <w:sz w:val="14"/>
        </w:rPr>
      </w:pPr>
      <w:r>
        <w:rPr>
          <w:rFonts w:ascii="Arial MT" w:hAnsi="Arial MT"/>
          <w:color w:val="585858"/>
          <w:sz w:val="14"/>
        </w:rPr>
        <w:t>Institut</w:t>
      </w:r>
      <w:r>
        <w:rPr>
          <w:rFonts w:ascii="Arial MT" w:hAnsi="Arial MT"/>
          <w:color w:val="585858"/>
          <w:spacing w:val="-9"/>
          <w:sz w:val="14"/>
        </w:rPr>
        <w:t> </w:t>
      </w:r>
      <w:r>
        <w:rPr>
          <w:rFonts w:ascii="Arial MT" w:hAnsi="Arial MT"/>
          <w:color w:val="585858"/>
          <w:sz w:val="14"/>
        </w:rPr>
        <w:t>national</w:t>
      </w:r>
      <w:r>
        <w:rPr>
          <w:rFonts w:ascii="Arial MT" w:hAnsi="Arial MT"/>
          <w:color w:val="585858"/>
          <w:spacing w:val="-8"/>
          <w:sz w:val="14"/>
        </w:rPr>
        <w:t> </w:t>
      </w:r>
      <w:r>
        <w:rPr>
          <w:rFonts w:ascii="Arial MT" w:hAnsi="Arial MT"/>
          <w:color w:val="585858"/>
          <w:sz w:val="14"/>
        </w:rPr>
        <w:t>de</w:t>
      </w:r>
      <w:r>
        <w:rPr>
          <w:rFonts w:ascii="Arial MT" w:hAnsi="Arial MT"/>
          <w:color w:val="585858"/>
          <w:spacing w:val="-9"/>
          <w:sz w:val="14"/>
        </w:rPr>
        <w:t> </w:t>
      </w:r>
      <w:r>
        <w:rPr>
          <w:rFonts w:ascii="Arial MT" w:hAnsi="Arial MT"/>
          <w:color w:val="585858"/>
          <w:sz w:val="14"/>
        </w:rPr>
        <w:t>la</w:t>
      </w:r>
      <w:r>
        <w:rPr>
          <w:rFonts w:ascii="Arial MT" w:hAnsi="Arial MT"/>
          <w:color w:val="585858"/>
          <w:spacing w:val="-9"/>
          <w:sz w:val="14"/>
        </w:rPr>
        <w:t> </w:t>
      </w:r>
      <w:r>
        <w:rPr>
          <w:rFonts w:ascii="Arial MT" w:hAnsi="Arial MT"/>
          <w:color w:val="585858"/>
          <w:sz w:val="14"/>
        </w:rPr>
        <w:t>propriété</w:t>
      </w:r>
      <w:r>
        <w:rPr>
          <w:rFonts w:ascii="Arial MT" w:hAnsi="Arial MT"/>
          <w:color w:val="585858"/>
          <w:spacing w:val="-9"/>
          <w:sz w:val="14"/>
        </w:rPr>
        <w:t> </w:t>
      </w:r>
      <w:r>
        <w:rPr>
          <w:rFonts w:ascii="Arial MT" w:hAnsi="Arial MT"/>
          <w:color w:val="585858"/>
          <w:sz w:val="14"/>
        </w:rPr>
        <w:t>industrielle</w:t>
      </w:r>
      <w:r>
        <w:rPr>
          <w:rFonts w:ascii="Arial MT" w:hAnsi="Arial MT"/>
          <w:color w:val="585858"/>
          <w:spacing w:val="40"/>
          <w:sz w:val="14"/>
        </w:rPr>
        <w:t> </w:t>
      </w:r>
      <w:r>
        <w:rPr>
          <w:rFonts w:ascii="Arial MT" w:hAnsi="Arial MT"/>
          <w:color w:val="585858"/>
          <w:sz w:val="14"/>
        </w:rPr>
        <w:t>15 rue des Minimes - CS 50001</w:t>
      </w:r>
    </w:p>
    <w:p>
      <w:pPr>
        <w:spacing w:line="160" w:lineRule="exact" w:before="0"/>
        <w:ind w:left="3" w:right="0" w:firstLine="0"/>
        <w:jc w:val="left"/>
        <w:rPr>
          <w:rFonts w:ascii="Arial MT"/>
          <w:sz w:val="14"/>
        </w:rPr>
      </w:pPr>
      <w:r>
        <w:rPr>
          <w:rFonts w:ascii="Arial MT"/>
          <w:color w:val="585858"/>
          <w:sz w:val="14"/>
        </w:rPr>
        <w:t>92677</w:t>
      </w:r>
      <w:r>
        <w:rPr>
          <w:rFonts w:ascii="Arial MT"/>
          <w:color w:val="585858"/>
          <w:spacing w:val="-6"/>
          <w:sz w:val="14"/>
        </w:rPr>
        <w:t> </w:t>
      </w:r>
      <w:r>
        <w:rPr>
          <w:rFonts w:ascii="Arial MT"/>
          <w:color w:val="585858"/>
          <w:sz w:val="14"/>
        </w:rPr>
        <w:t>COURBEVOIE</w:t>
      </w:r>
      <w:r>
        <w:rPr>
          <w:rFonts w:ascii="Arial MT"/>
          <w:color w:val="585858"/>
          <w:spacing w:val="-5"/>
          <w:sz w:val="14"/>
        </w:rPr>
        <w:t> </w:t>
      </w:r>
      <w:r>
        <w:rPr>
          <w:rFonts w:ascii="Arial MT"/>
          <w:color w:val="585858"/>
          <w:spacing w:val="-2"/>
          <w:sz w:val="14"/>
        </w:rPr>
        <w:t>Cedex</w:t>
      </w:r>
    </w:p>
    <w:p>
      <w:pPr>
        <w:spacing w:line="160" w:lineRule="exact" w:before="0"/>
        <w:ind w:left="3" w:right="0" w:firstLine="0"/>
        <w:jc w:val="left"/>
        <w:rPr>
          <w:rFonts w:ascii="Arial MT" w:hAnsi="Arial MT"/>
          <w:sz w:val="14"/>
        </w:rPr>
      </w:pPr>
      <w:r>
        <w:rPr>
          <w:rFonts w:ascii="Arial MT" w:hAnsi="Arial MT"/>
          <w:color w:val="585858"/>
          <w:sz w:val="14"/>
        </w:rPr>
        <w:t>Téléphone</w:t>
      </w:r>
      <w:r>
        <w:rPr>
          <w:rFonts w:ascii="Arial MT" w:hAnsi="Arial MT"/>
          <w:color w:val="585858"/>
          <w:spacing w:val="-3"/>
          <w:sz w:val="14"/>
        </w:rPr>
        <w:t> </w:t>
      </w:r>
      <w:r>
        <w:rPr>
          <w:rFonts w:ascii="Arial MT" w:hAnsi="Arial MT"/>
          <w:color w:val="585858"/>
          <w:sz w:val="14"/>
        </w:rPr>
        <w:t>:</w:t>
      </w:r>
      <w:r>
        <w:rPr>
          <w:rFonts w:ascii="Arial MT" w:hAnsi="Arial MT"/>
          <w:color w:val="585858"/>
          <w:spacing w:val="-2"/>
          <w:sz w:val="14"/>
        </w:rPr>
        <w:t> </w:t>
      </w:r>
      <w:r>
        <w:rPr>
          <w:rFonts w:ascii="Arial MT" w:hAnsi="Arial MT"/>
          <w:color w:val="585858"/>
          <w:sz w:val="14"/>
        </w:rPr>
        <w:t>+33</w:t>
      </w:r>
      <w:r>
        <w:rPr>
          <w:rFonts w:ascii="Arial MT" w:hAnsi="Arial MT"/>
          <w:color w:val="585858"/>
          <w:spacing w:val="-3"/>
          <w:sz w:val="14"/>
        </w:rPr>
        <w:t> </w:t>
      </w:r>
      <w:r>
        <w:rPr>
          <w:rFonts w:ascii="Arial MT" w:hAnsi="Arial MT"/>
          <w:color w:val="585858"/>
          <w:sz w:val="14"/>
        </w:rPr>
        <w:t>(0)1</w:t>
      </w:r>
      <w:r>
        <w:rPr>
          <w:rFonts w:ascii="Arial MT" w:hAnsi="Arial MT"/>
          <w:color w:val="585858"/>
          <w:spacing w:val="-3"/>
          <w:sz w:val="14"/>
        </w:rPr>
        <w:t> </w:t>
      </w:r>
      <w:r>
        <w:rPr>
          <w:rFonts w:ascii="Arial MT" w:hAnsi="Arial MT"/>
          <w:color w:val="585858"/>
          <w:sz w:val="14"/>
        </w:rPr>
        <w:t>56</w:t>
      </w:r>
      <w:r>
        <w:rPr>
          <w:rFonts w:ascii="Arial MT" w:hAnsi="Arial MT"/>
          <w:color w:val="585858"/>
          <w:spacing w:val="-2"/>
          <w:sz w:val="14"/>
        </w:rPr>
        <w:t> </w:t>
      </w:r>
      <w:r>
        <w:rPr>
          <w:rFonts w:ascii="Arial MT" w:hAnsi="Arial MT"/>
          <w:color w:val="585858"/>
          <w:sz w:val="14"/>
        </w:rPr>
        <w:t>65</w:t>
      </w:r>
      <w:r>
        <w:rPr>
          <w:rFonts w:ascii="Arial MT" w:hAnsi="Arial MT"/>
          <w:color w:val="585858"/>
          <w:spacing w:val="-3"/>
          <w:sz w:val="14"/>
        </w:rPr>
        <w:t> </w:t>
      </w:r>
      <w:r>
        <w:rPr>
          <w:rFonts w:ascii="Arial MT" w:hAnsi="Arial MT"/>
          <w:color w:val="585858"/>
          <w:sz w:val="14"/>
        </w:rPr>
        <w:t>89</w:t>
      </w:r>
      <w:r>
        <w:rPr>
          <w:rFonts w:ascii="Arial MT" w:hAnsi="Arial MT"/>
          <w:color w:val="585858"/>
          <w:spacing w:val="-2"/>
          <w:sz w:val="14"/>
        </w:rPr>
        <w:t> </w:t>
      </w:r>
      <w:r>
        <w:rPr>
          <w:rFonts w:ascii="Arial MT" w:hAnsi="Arial MT"/>
          <w:color w:val="585858"/>
          <w:spacing w:val="-5"/>
          <w:sz w:val="14"/>
        </w:rPr>
        <w:t>98</w:t>
      </w:r>
    </w:p>
    <w:p>
      <w:pPr>
        <w:spacing w:before="1"/>
        <w:ind w:left="3" w:right="6566" w:firstLine="0"/>
        <w:jc w:val="left"/>
        <w:rPr>
          <w:rFonts w:ascii="Arial MT" w:hAnsi="Arial MT"/>
          <w:sz w:val="14"/>
        </w:rPr>
      </w:pPr>
      <w:r>
        <w:rPr>
          <w:rFonts w:ascii="Arial MT" w:hAnsi="Arial MT"/>
          <w:color w:val="585858"/>
          <w:sz w:val="14"/>
        </w:rPr>
        <w:t>Télécopie</w:t>
      </w:r>
      <w:r>
        <w:rPr>
          <w:rFonts w:ascii="Arial MT" w:hAnsi="Arial MT"/>
          <w:color w:val="585858"/>
          <w:spacing w:val="-6"/>
          <w:sz w:val="14"/>
        </w:rPr>
        <w:t> </w:t>
      </w:r>
      <w:r>
        <w:rPr>
          <w:rFonts w:ascii="Arial MT" w:hAnsi="Arial MT"/>
          <w:color w:val="585858"/>
          <w:sz w:val="14"/>
        </w:rPr>
        <w:t>:</w:t>
      </w:r>
      <w:r>
        <w:rPr>
          <w:rFonts w:ascii="Arial MT" w:hAnsi="Arial MT"/>
          <w:color w:val="585858"/>
          <w:spacing w:val="-6"/>
          <w:sz w:val="14"/>
        </w:rPr>
        <w:t> </w:t>
      </w:r>
      <w:r>
        <w:rPr>
          <w:rFonts w:ascii="Arial MT" w:hAnsi="Arial MT"/>
          <w:color w:val="585858"/>
          <w:sz w:val="14"/>
        </w:rPr>
        <w:t>+33</w:t>
      </w:r>
      <w:r>
        <w:rPr>
          <w:rFonts w:ascii="Arial MT" w:hAnsi="Arial MT"/>
          <w:color w:val="585858"/>
          <w:spacing w:val="-6"/>
          <w:sz w:val="14"/>
        </w:rPr>
        <w:t> </w:t>
      </w:r>
      <w:r>
        <w:rPr>
          <w:rFonts w:ascii="Arial MT" w:hAnsi="Arial MT"/>
          <w:color w:val="585858"/>
          <w:sz w:val="14"/>
        </w:rPr>
        <w:t>(0)1</w:t>
      </w:r>
      <w:r>
        <w:rPr>
          <w:rFonts w:ascii="Arial MT" w:hAnsi="Arial MT"/>
          <w:color w:val="585858"/>
          <w:spacing w:val="-6"/>
          <w:sz w:val="14"/>
        </w:rPr>
        <w:t> </w:t>
      </w:r>
      <w:r>
        <w:rPr>
          <w:rFonts w:ascii="Arial MT" w:hAnsi="Arial MT"/>
          <w:color w:val="585858"/>
          <w:sz w:val="14"/>
        </w:rPr>
        <w:t>56</w:t>
      </w:r>
      <w:r>
        <w:rPr>
          <w:rFonts w:ascii="Arial MT" w:hAnsi="Arial MT"/>
          <w:color w:val="585858"/>
          <w:spacing w:val="-6"/>
          <w:sz w:val="14"/>
        </w:rPr>
        <w:t> </w:t>
      </w:r>
      <w:r>
        <w:rPr>
          <w:rFonts w:ascii="Arial MT" w:hAnsi="Arial MT"/>
          <w:color w:val="585858"/>
          <w:sz w:val="14"/>
        </w:rPr>
        <w:t>65</w:t>
      </w:r>
      <w:r>
        <w:rPr>
          <w:rFonts w:ascii="Arial MT" w:hAnsi="Arial MT"/>
          <w:color w:val="585858"/>
          <w:spacing w:val="-7"/>
          <w:sz w:val="14"/>
        </w:rPr>
        <w:t> </w:t>
      </w:r>
      <w:r>
        <w:rPr>
          <w:rFonts w:ascii="Arial MT" w:hAnsi="Arial MT"/>
          <w:color w:val="585858"/>
          <w:sz w:val="14"/>
        </w:rPr>
        <w:t>86</w:t>
      </w:r>
      <w:r>
        <w:rPr>
          <w:rFonts w:ascii="Arial MT" w:hAnsi="Arial MT"/>
          <w:color w:val="585858"/>
          <w:spacing w:val="-7"/>
          <w:sz w:val="14"/>
        </w:rPr>
        <w:t> </w:t>
      </w:r>
      <w:r>
        <w:rPr>
          <w:rFonts w:ascii="Arial MT" w:hAnsi="Arial MT"/>
          <w:color w:val="585858"/>
          <w:sz w:val="14"/>
        </w:rPr>
        <w:t>00</w:t>
      </w:r>
      <w:r>
        <w:rPr>
          <w:rFonts w:ascii="Arial MT" w:hAnsi="Arial MT"/>
          <w:color w:val="585858"/>
          <w:spacing w:val="40"/>
          <w:sz w:val="14"/>
        </w:rPr>
        <w:t> </w:t>
      </w:r>
      <w:hyperlink r:id="rId7">
        <w:r>
          <w:rPr>
            <w:rFonts w:ascii="Arial MT" w:hAnsi="Arial MT"/>
            <w:color w:val="585858"/>
            <w:sz w:val="14"/>
          </w:rPr>
          <w:t>www.inpi.fr</w:t>
        </w:r>
      </w:hyperlink>
      <w:r>
        <w:rPr>
          <w:rFonts w:ascii="Arial MT" w:hAnsi="Arial MT"/>
          <w:color w:val="585858"/>
          <w:sz w:val="14"/>
        </w:rPr>
        <w:t> – </w:t>
      </w:r>
      <w:hyperlink r:id="rId8">
        <w:r>
          <w:rPr>
            <w:rFonts w:ascii="Arial MT" w:hAnsi="Arial MT"/>
            <w:color w:val="585858"/>
            <w:sz w:val="14"/>
          </w:rPr>
          <w:t>contact@inpi.fr</w:t>
        </w:r>
      </w:hyperlink>
    </w:p>
    <w:p>
      <w:pPr>
        <w:spacing w:before="60" w:after="4"/>
        <w:ind w:left="3" w:right="0" w:firstLine="0"/>
        <w:jc w:val="left"/>
        <w:rPr>
          <w:rFonts w:ascii="Arial MT" w:hAnsi="Arial MT"/>
          <w:sz w:val="11"/>
        </w:rPr>
      </w:pPr>
      <w:r>
        <w:rPr>
          <w:rFonts w:ascii="Arial MT" w:hAnsi="Arial MT"/>
          <w:color w:val="585858"/>
          <w:sz w:val="11"/>
        </w:rPr>
        <w:t>Établissement</w:t>
      </w:r>
      <w:r>
        <w:rPr>
          <w:rFonts w:ascii="Arial MT" w:hAnsi="Arial MT"/>
          <w:color w:val="585858"/>
          <w:spacing w:val="-10"/>
          <w:sz w:val="11"/>
        </w:rPr>
        <w:t> </w:t>
      </w:r>
      <w:r>
        <w:rPr>
          <w:rFonts w:ascii="Arial MT" w:hAnsi="Arial MT"/>
          <w:color w:val="585858"/>
          <w:sz w:val="11"/>
        </w:rPr>
        <w:t>public</w:t>
      </w:r>
      <w:r>
        <w:rPr>
          <w:rFonts w:ascii="Arial MT" w:hAnsi="Arial MT"/>
          <w:color w:val="585858"/>
          <w:spacing w:val="-6"/>
          <w:sz w:val="11"/>
        </w:rPr>
        <w:t> </w:t>
      </w:r>
      <w:r>
        <w:rPr>
          <w:rFonts w:ascii="Arial MT" w:hAnsi="Arial MT"/>
          <w:color w:val="585858"/>
          <w:spacing w:val="-2"/>
          <w:sz w:val="11"/>
        </w:rPr>
        <w:t>national</w:t>
      </w:r>
    </w:p>
    <w:p>
      <w:pPr>
        <w:pStyle w:val="BodyText"/>
        <w:spacing w:line="122" w:lineRule="exact"/>
        <w:ind w:left="3"/>
        <w:rPr>
          <w:rFonts w:ascii="Arial MT"/>
          <w:position w:val="-1"/>
          <w:sz w:val="12"/>
        </w:rPr>
      </w:pPr>
      <w:r>
        <w:rPr>
          <w:rFonts w:ascii="Arial MT"/>
          <w:position w:val="-1"/>
          <w:sz w:val="12"/>
        </w:rPr>
        <mc:AlternateContent>
          <mc:Choice Requires="wps">
            <w:drawing>
              <wp:inline distT="0" distB="0" distL="0" distR="0">
                <wp:extent cx="1270000" cy="78105"/>
                <wp:effectExtent l="0" t="0" r="0" b="0"/>
                <wp:docPr id="3" name="Group 3"/>
                <wp:cNvGraphicFramePr>
                  <a:graphicFrameLocks/>
                </wp:cNvGraphicFramePr>
                <a:graphic>
                  <a:graphicData uri="http://schemas.microsoft.com/office/word/2010/wordprocessingGroup">
                    <wpg:wgp>
                      <wpg:cNvPr id="3" name="Group 3"/>
                      <wpg:cNvGrpSpPr/>
                      <wpg:grpSpPr>
                        <a:xfrm>
                          <a:off x="0" y="0"/>
                          <a:ext cx="1270000" cy="78105"/>
                          <a:chExt cx="1270000" cy="78105"/>
                        </a:xfrm>
                      </wpg:grpSpPr>
                      <wps:wsp>
                        <wps:cNvPr id="4" name="Textbox 4"/>
                        <wps:cNvSpPr txBox="1"/>
                        <wps:spPr>
                          <a:xfrm>
                            <a:off x="0" y="0"/>
                            <a:ext cx="1270000" cy="78105"/>
                          </a:xfrm>
                          <a:prstGeom prst="rect">
                            <a:avLst/>
                          </a:prstGeom>
                        </wps:spPr>
                        <wps:txbx>
                          <w:txbxContent>
                            <w:p>
                              <w:pPr>
                                <w:spacing w:line="123" w:lineRule="exact" w:before="0"/>
                                <w:ind w:left="0" w:right="0" w:firstLine="0"/>
                                <w:jc w:val="left"/>
                                <w:rPr>
                                  <w:rFonts w:ascii="Arial MT" w:hAnsi="Arial MT"/>
                                  <w:sz w:val="11"/>
                                </w:rPr>
                              </w:pPr>
                              <w:r>
                                <w:rPr>
                                  <w:rFonts w:ascii="Arial MT" w:hAnsi="Arial MT"/>
                                  <w:color w:val="585858"/>
                                  <w:sz w:val="11"/>
                                </w:rPr>
                                <w:t>créé</w:t>
                              </w:r>
                              <w:r>
                                <w:rPr>
                                  <w:rFonts w:ascii="Arial MT" w:hAnsi="Arial MT"/>
                                  <w:color w:val="585858"/>
                                  <w:spacing w:val="-2"/>
                                  <w:sz w:val="11"/>
                                </w:rPr>
                                <w:t> </w:t>
                              </w:r>
                              <w:r>
                                <w:rPr>
                                  <w:rFonts w:ascii="Arial MT" w:hAnsi="Arial MT"/>
                                  <w:color w:val="585858"/>
                                  <w:sz w:val="11"/>
                                </w:rPr>
                                <w:t>par</w:t>
                              </w:r>
                              <w:r>
                                <w:rPr>
                                  <w:rFonts w:ascii="Arial MT" w:hAnsi="Arial MT"/>
                                  <w:color w:val="585858"/>
                                  <w:spacing w:val="-4"/>
                                  <w:sz w:val="11"/>
                                </w:rPr>
                                <w:t> </w:t>
                              </w:r>
                              <w:r>
                                <w:rPr>
                                  <w:rFonts w:ascii="Arial MT" w:hAnsi="Arial MT"/>
                                  <w:color w:val="585858"/>
                                  <w:sz w:val="11"/>
                                </w:rPr>
                                <w:t>la</w:t>
                              </w:r>
                              <w:r>
                                <w:rPr>
                                  <w:rFonts w:ascii="Arial MT" w:hAnsi="Arial MT"/>
                                  <w:color w:val="585858"/>
                                  <w:spacing w:val="-1"/>
                                  <w:sz w:val="11"/>
                                </w:rPr>
                                <w:t> </w:t>
                              </w:r>
                              <w:r>
                                <w:rPr>
                                  <w:rFonts w:ascii="Arial MT" w:hAnsi="Arial MT"/>
                                  <w:color w:val="585858"/>
                                  <w:sz w:val="11"/>
                                </w:rPr>
                                <w:t>loi</w:t>
                              </w:r>
                              <w:r>
                                <w:rPr>
                                  <w:rFonts w:ascii="Arial MT" w:hAnsi="Arial MT"/>
                                  <w:color w:val="585858"/>
                                  <w:spacing w:val="-3"/>
                                  <w:sz w:val="11"/>
                                </w:rPr>
                                <w:t> </w:t>
                              </w:r>
                              <w:r>
                                <w:rPr>
                                  <w:rFonts w:ascii="Arial MT" w:hAnsi="Arial MT"/>
                                  <w:color w:val="585858"/>
                                  <w:sz w:val="11"/>
                                </w:rPr>
                                <w:t>n°</w:t>
                              </w:r>
                              <w:r>
                                <w:rPr>
                                  <w:rFonts w:ascii="Arial MT" w:hAnsi="Arial MT"/>
                                  <w:color w:val="585858"/>
                                  <w:spacing w:val="-2"/>
                                  <w:sz w:val="11"/>
                                </w:rPr>
                                <w:t> </w:t>
                              </w:r>
                              <w:r>
                                <w:rPr>
                                  <w:rFonts w:ascii="Arial MT" w:hAnsi="Arial MT"/>
                                  <w:color w:val="585858"/>
                                  <w:sz w:val="11"/>
                                </w:rPr>
                                <w:t>51-444</w:t>
                              </w:r>
                              <w:r>
                                <w:rPr>
                                  <w:rFonts w:ascii="Arial MT" w:hAnsi="Arial MT"/>
                                  <w:color w:val="585858"/>
                                  <w:spacing w:val="-2"/>
                                  <w:sz w:val="11"/>
                                </w:rPr>
                                <w:t> </w:t>
                              </w:r>
                              <w:r>
                                <w:rPr>
                                  <w:rFonts w:ascii="Arial MT" w:hAnsi="Arial MT"/>
                                  <w:color w:val="585858"/>
                                  <w:sz w:val="11"/>
                                </w:rPr>
                                <w:t>du</w:t>
                              </w:r>
                              <w:r>
                                <w:rPr>
                                  <w:rFonts w:ascii="Arial MT" w:hAnsi="Arial MT"/>
                                  <w:color w:val="585858"/>
                                  <w:spacing w:val="-1"/>
                                  <w:sz w:val="11"/>
                                </w:rPr>
                                <w:t> </w:t>
                              </w:r>
                              <w:r>
                                <w:rPr>
                                  <w:rFonts w:ascii="Arial MT" w:hAnsi="Arial MT"/>
                                  <w:color w:val="585858"/>
                                  <w:sz w:val="11"/>
                                </w:rPr>
                                <w:t>19</w:t>
                              </w:r>
                              <w:r>
                                <w:rPr>
                                  <w:rFonts w:ascii="Arial MT" w:hAnsi="Arial MT"/>
                                  <w:color w:val="585858"/>
                                  <w:spacing w:val="-2"/>
                                  <w:sz w:val="11"/>
                                </w:rPr>
                                <w:t> </w:t>
                              </w:r>
                              <w:r>
                                <w:rPr>
                                  <w:rFonts w:ascii="Arial MT" w:hAnsi="Arial MT"/>
                                  <w:color w:val="585858"/>
                                  <w:sz w:val="11"/>
                                </w:rPr>
                                <w:t>avril</w:t>
                              </w:r>
                              <w:r>
                                <w:rPr>
                                  <w:rFonts w:ascii="Arial MT" w:hAnsi="Arial MT"/>
                                  <w:color w:val="585858"/>
                                  <w:spacing w:val="-1"/>
                                  <w:sz w:val="11"/>
                                </w:rPr>
                                <w:t> </w:t>
                              </w:r>
                              <w:r>
                                <w:rPr>
                                  <w:rFonts w:ascii="Arial MT" w:hAnsi="Arial MT"/>
                                  <w:color w:val="585858"/>
                                  <w:spacing w:val="-4"/>
                                  <w:sz w:val="11"/>
                                </w:rPr>
                                <w:t>1951</w:t>
                              </w:r>
                            </w:p>
                          </w:txbxContent>
                        </wps:txbx>
                        <wps:bodyPr wrap="square" lIns="0" tIns="0" rIns="0" bIns="0" rtlCol="0">
                          <a:noAutofit/>
                        </wps:bodyPr>
                      </wps:wsp>
                    </wpg:wgp>
                  </a:graphicData>
                </a:graphic>
              </wp:inline>
            </w:drawing>
          </mc:Choice>
          <mc:Fallback>
            <w:pict>
              <v:group style="width:100pt;height:6.15pt;mso-position-horizontal-relative:char;mso-position-vertical-relative:line" id="docshapegroup1" coordorigin="0,0" coordsize="2000,123">
                <v:shapetype id="_x0000_t202" o:spt="202" coordsize="21600,21600" path="m,l,21600r21600,l21600,xe">
                  <v:stroke joinstyle="miter"/>
                  <v:path gradientshapeok="t" o:connecttype="rect"/>
                </v:shapetype>
                <v:shape style="position:absolute;left:0;top:0;width:2000;height:123" type="#_x0000_t202" id="docshape2" filled="false" stroked="false">
                  <v:textbox inset="0,0,0,0">
                    <w:txbxContent>
                      <w:p>
                        <w:pPr>
                          <w:spacing w:line="123" w:lineRule="exact" w:before="0"/>
                          <w:ind w:left="0" w:right="0" w:firstLine="0"/>
                          <w:jc w:val="left"/>
                          <w:rPr>
                            <w:rFonts w:ascii="Arial MT" w:hAnsi="Arial MT"/>
                            <w:sz w:val="11"/>
                          </w:rPr>
                        </w:pPr>
                        <w:r>
                          <w:rPr>
                            <w:rFonts w:ascii="Arial MT" w:hAnsi="Arial MT"/>
                            <w:color w:val="585858"/>
                            <w:sz w:val="11"/>
                          </w:rPr>
                          <w:t>créé</w:t>
                        </w:r>
                        <w:r>
                          <w:rPr>
                            <w:rFonts w:ascii="Arial MT" w:hAnsi="Arial MT"/>
                            <w:color w:val="585858"/>
                            <w:spacing w:val="-2"/>
                            <w:sz w:val="11"/>
                          </w:rPr>
                          <w:t> </w:t>
                        </w:r>
                        <w:r>
                          <w:rPr>
                            <w:rFonts w:ascii="Arial MT" w:hAnsi="Arial MT"/>
                            <w:color w:val="585858"/>
                            <w:sz w:val="11"/>
                          </w:rPr>
                          <w:t>par</w:t>
                        </w:r>
                        <w:r>
                          <w:rPr>
                            <w:rFonts w:ascii="Arial MT" w:hAnsi="Arial MT"/>
                            <w:color w:val="585858"/>
                            <w:spacing w:val="-4"/>
                            <w:sz w:val="11"/>
                          </w:rPr>
                          <w:t> </w:t>
                        </w:r>
                        <w:r>
                          <w:rPr>
                            <w:rFonts w:ascii="Arial MT" w:hAnsi="Arial MT"/>
                            <w:color w:val="585858"/>
                            <w:sz w:val="11"/>
                          </w:rPr>
                          <w:t>la</w:t>
                        </w:r>
                        <w:r>
                          <w:rPr>
                            <w:rFonts w:ascii="Arial MT" w:hAnsi="Arial MT"/>
                            <w:color w:val="585858"/>
                            <w:spacing w:val="-1"/>
                            <w:sz w:val="11"/>
                          </w:rPr>
                          <w:t> </w:t>
                        </w:r>
                        <w:r>
                          <w:rPr>
                            <w:rFonts w:ascii="Arial MT" w:hAnsi="Arial MT"/>
                            <w:color w:val="585858"/>
                            <w:sz w:val="11"/>
                          </w:rPr>
                          <w:t>loi</w:t>
                        </w:r>
                        <w:r>
                          <w:rPr>
                            <w:rFonts w:ascii="Arial MT" w:hAnsi="Arial MT"/>
                            <w:color w:val="585858"/>
                            <w:spacing w:val="-3"/>
                            <w:sz w:val="11"/>
                          </w:rPr>
                          <w:t> </w:t>
                        </w:r>
                        <w:r>
                          <w:rPr>
                            <w:rFonts w:ascii="Arial MT" w:hAnsi="Arial MT"/>
                            <w:color w:val="585858"/>
                            <w:sz w:val="11"/>
                          </w:rPr>
                          <w:t>n°</w:t>
                        </w:r>
                        <w:r>
                          <w:rPr>
                            <w:rFonts w:ascii="Arial MT" w:hAnsi="Arial MT"/>
                            <w:color w:val="585858"/>
                            <w:spacing w:val="-2"/>
                            <w:sz w:val="11"/>
                          </w:rPr>
                          <w:t> </w:t>
                        </w:r>
                        <w:r>
                          <w:rPr>
                            <w:rFonts w:ascii="Arial MT" w:hAnsi="Arial MT"/>
                            <w:color w:val="585858"/>
                            <w:sz w:val="11"/>
                          </w:rPr>
                          <w:t>51-444</w:t>
                        </w:r>
                        <w:r>
                          <w:rPr>
                            <w:rFonts w:ascii="Arial MT" w:hAnsi="Arial MT"/>
                            <w:color w:val="585858"/>
                            <w:spacing w:val="-2"/>
                            <w:sz w:val="11"/>
                          </w:rPr>
                          <w:t> </w:t>
                        </w:r>
                        <w:r>
                          <w:rPr>
                            <w:rFonts w:ascii="Arial MT" w:hAnsi="Arial MT"/>
                            <w:color w:val="585858"/>
                            <w:sz w:val="11"/>
                          </w:rPr>
                          <w:t>du</w:t>
                        </w:r>
                        <w:r>
                          <w:rPr>
                            <w:rFonts w:ascii="Arial MT" w:hAnsi="Arial MT"/>
                            <w:color w:val="585858"/>
                            <w:spacing w:val="-1"/>
                            <w:sz w:val="11"/>
                          </w:rPr>
                          <w:t> </w:t>
                        </w:r>
                        <w:r>
                          <w:rPr>
                            <w:rFonts w:ascii="Arial MT" w:hAnsi="Arial MT"/>
                            <w:color w:val="585858"/>
                            <w:sz w:val="11"/>
                          </w:rPr>
                          <w:t>19</w:t>
                        </w:r>
                        <w:r>
                          <w:rPr>
                            <w:rFonts w:ascii="Arial MT" w:hAnsi="Arial MT"/>
                            <w:color w:val="585858"/>
                            <w:spacing w:val="-2"/>
                            <w:sz w:val="11"/>
                          </w:rPr>
                          <w:t> </w:t>
                        </w:r>
                        <w:r>
                          <w:rPr>
                            <w:rFonts w:ascii="Arial MT" w:hAnsi="Arial MT"/>
                            <w:color w:val="585858"/>
                            <w:sz w:val="11"/>
                          </w:rPr>
                          <w:t>avril</w:t>
                        </w:r>
                        <w:r>
                          <w:rPr>
                            <w:rFonts w:ascii="Arial MT" w:hAnsi="Arial MT"/>
                            <w:color w:val="585858"/>
                            <w:spacing w:val="-1"/>
                            <w:sz w:val="11"/>
                          </w:rPr>
                          <w:t> </w:t>
                        </w:r>
                        <w:r>
                          <w:rPr>
                            <w:rFonts w:ascii="Arial MT" w:hAnsi="Arial MT"/>
                            <w:color w:val="585858"/>
                            <w:spacing w:val="-4"/>
                            <w:sz w:val="11"/>
                          </w:rPr>
                          <w:t>1951</w:t>
                        </w:r>
                      </w:p>
                    </w:txbxContent>
                  </v:textbox>
                  <w10:wrap type="none"/>
                </v:shape>
              </v:group>
            </w:pict>
          </mc:Fallback>
        </mc:AlternateContent>
      </w:r>
      <w:r>
        <w:rPr>
          <w:rFonts w:ascii="Arial MT"/>
          <w:position w:val="-1"/>
          <w:sz w:val="12"/>
        </w:rPr>
      </w:r>
    </w:p>
    <w:p>
      <w:pPr>
        <w:pStyle w:val="BodyText"/>
        <w:spacing w:after="0" w:line="122" w:lineRule="exact"/>
        <w:rPr>
          <w:rFonts w:ascii="Arial MT"/>
          <w:position w:val="-1"/>
          <w:sz w:val="12"/>
        </w:rPr>
        <w:sectPr>
          <w:type w:val="continuous"/>
          <w:pgSz w:w="11910" w:h="16840"/>
          <w:pgMar w:top="1140" w:bottom="0" w:left="1417" w:right="1275"/>
        </w:sectPr>
      </w:pPr>
    </w:p>
    <w:p>
      <w:pPr>
        <w:pStyle w:val="BodyText"/>
        <w:spacing w:before="68"/>
        <w:ind w:left="3" w:right="138"/>
        <w:jc w:val="both"/>
      </w:pPr>
      <w:r>
        <w:rPr/>
        <w:t>la marque française portant sur le signe verbal SAUVAGE, déposée le 13 janvier 2014 et enregistrée sous le n° 4060262, régulièrement renouvelée.</w:t>
      </w:r>
    </w:p>
    <w:p>
      <w:pPr>
        <w:pStyle w:val="BodyText"/>
      </w:pPr>
    </w:p>
    <w:p>
      <w:pPr>
        <w:pStyle w:val="BodyText"/>
        <w:ind w:left="3" w:right="153"/>
        <w:jc w:val="both"/>
      </w:pPr>
      <w:r>
        <w:rPr/>
        <w:t>L'opposition a été notifiée au titulaire de la demande d’enregistrement. Cette notification l’invitait à présenter des observations en réponse à l'opposition dans un délai de deux mois.</w:t>
      </w:r>
    </w:p>
    <w:p>
      <w:pPr>
        <w:pStyle w:val="BodyText"/>
      </w:pPr>
    </w:p>
    <w:p>
      <w:pPr>
        <w:pStyle w:val="BodyText"/>
        <w:spacing w:before="52"/>
      </w:pPr>
    </w:p>
    <w:p>
      <w:pPr>
        <w:pStyle w:val="BodyText"/>
        <w:ind w:left="3" w:right="152"/>
        <w:jc w:val="both"/>
      </w:pPr>
      <w:r>
        <w:rPr/>
        <w:t>Aucune observation en réponse à l'opposition n'ayant été présentée à l'Institut dans le délai imparti, la phase d’instruction a pris fin, ce dont les parties ont été informées.</w:t>
      </w:r>
    </w:p>
    <w:p>
      <w:pPr>
        <w:pStyle w:val="BodyText"/>
      </w:pPr>
    </w:p>
    <w:p>
      <w:pPr>
        <w:pStyle w:val="BodyText"/>
        <w:spacing w:before="74"/>
      </w:pPr>
    </w:p>
    <w:p>
      <w:pPr>
        <w:pStyle w:val="Heading1"/>
        <w:jc w:val="both"/>
      </w:pPr>
      <w:r>
        <w:rPr>
          <w:w w:val="110"/>
        </w:rPr>
        <w:t>II.-</w:t>
      </w:r>
      <w:r>
        <w:rPr>
          <w:spacing w:val="-3"/>
          <w:w w:val="110"/>
        </w:rPr>
        <w:t> </w:t>
      </w:r>
      <w:r>
        <w:rPr>
          <w:spacing w:val="-2"/>
          <w:w w:val="110"/>
        </w:rPr>
        <w:t>DÉCISION</w:t>
      </w:r>
    </w:p>
    <w:p>
      <w:pPr>
        <w:pStyle w:val="BodyText"/>
        <w:spacing w:before="21"/>
        <w:rPr>
          <w:rFonts w:ascii="Cambria"/>
          <w:b/>
        </w:rPr>
      </w:pPr>
    </w:p>
    <w:p>
      <w:pPr>
        <w:pStyle w:val="BodyText"/>
        <w:ind w:left="3" w:right="149"/>
        <w:jc w:val="both"/>
      </w:pPr>
      <w:r>
        <w:rPr/>
        <w:t>Le titulaire d’une marque jouissant d’une renommée en France ou, dans le cas d'une marque de</w:t>
      </w:r>
      <w:r>
        <w:rPr>
          <w:spacing w:val="-5"/>
        </w:rPr>
        <w:t> </w:t>
      </w:r>
      <w:r>
        <w:rPr/>
        <w:t>l'Union</w:t>
      </w:r>
      <w:r>
        <w:rPr>
          <w:spacing w:val="-4"/>
        </w:rPr>
        <w:t> </w:t>
      </w:r>
      <w:r>
        <w:rPr/>
        <w:t>européenne,</w:t>
      </w:r>
      <w:r>
        <w:rPr>
          <w:spacing w:val="-4"/>
        </w:rPr>
        <w:t> </w:t>
      </w:r>
      <w:r>
        <w:rPr/>
        <w:t>d'une</w:t>
      </w:r>
      <w:r>
        <w:rPr>
          <w:spacing w:val="-5"/>
        </w:rPr>
        <w:t> </w:t>
      </w:r>
      <w:r>
        <w:rPr/>
        <w:t>renommée</w:t>
      </w:r>
      <w:r>
        <w:rPr>
          <w:spacing w:val="-4"/>
        </w:rPr>
        <w:t> </w:t>
      </w:r>
      <w:r>
        <w:rPr/>
        <w:t>dans</w:t>
      </w:r>
      <w:r>
        <w:rPr>
          <w:spacing w:val="-4"/>
        </w:rPr>
        <w:t> </w:t>
      </w:r>
      <w:r>
        <w:rPr/>
        <w:t>l'Union,</w:t>
      </w:r>
      <w:r>
        <w:rPr>
          <w:spacing w:val="-4"/>
        </w:rPr>
        <w:t> </w:t>
      </w:r>
      <w:r>
        <w:rPr/>
        <w:t>peut</w:t>
      </w:r>
      <w:r>
        <w:rPr>
          <w:spacing w:val="-4"/>
        </w:rPr>
        <w:t> </w:t>
      </w:r>
      <w:r>
        <w:rPr/>
        <w:t>s’opposer</w:t>
      </w:r>
      <w:r>
        <w:rPr>
          <w:spacing w:val="-4"/>
        </w:rPr>
        <w:t> </w:t>
      </w:r>
      <w:r>
        <w:rPr/>
        <w:t>à</w:t>
      </w:r>
      <w:r>
        <w:rPr>
          <w:spacing w:val="-5"/>
        </w:rPr>
        <w:t> </w:t>
      </w:r>
      <w:r>
        <w:rPr/>
        <w:t>l’enregistrement</w:t>
      </w:r>
      <w:r>
        <w:rPr>
          <w:spacing w:val="-2"/>
        </w:rPr>
        <w:t> </w:t>
      </w:r>
      <w:r>
        <w:rPr/>
        <w:t>d’une marque lorsque la marque postérieure est identique ou similaire à la marque antérieure, indépendamment du fait que les produits ou les services soient identiques, similaires ou non similaires, et lorsque l’usage de cette marque postérieure sans juste motif tirerait indûment profit du caractère distinctif ou de la renommée de la marque antérieure, ou leur porterait </w:t>
      </w:r>
      <w:r>
        <w:rPr>
          <w:spacing w:val="-2"/>
        </w:rPr>
        <w:t>préjudice.</w:t>
      </w:r>
    </w:p>
    <w:p>
      <w:pPr>
        <w:pStyle w:val="BodyText"/>
      </w:pPr>
    </w:p>
    <w:p>
      <w:pPr>
        <w:pStyle w:val="BodyText"/>
        <w:spacing w:before="1"/>
        <w:ind w:left="3" w:right="151"/>
        <w:jc w:val="both"/>
      </w:pPr>
      <w:r>
        <w:rPr/>
        <w:t>Cette protection élargie accordée à la marque de renommée suppose la réunion des conditions suivantes : premièrement, l’existence d’une renommée de la marque antérieure invoquée, deuxièmement, l’identité ou la similitude des marques en conflit et</w:t>
      </w:r>
      <w:r>
        <w:rPr>
          <w:spacing w:val="-1"/>
        </w:rPr>
        <w:t> </w:t>
      </w:r>
      <w:r>
        <w:rPr/>
        <w:t>troisièmement, l’existence d’un risque que l’usage sans juste motif de la marque demandée tire indûment profit du caractère distinctif ou de la renommée de la marque antérieure ou leur porte préjudice ; ces trois conditions sont cumulatives, l’absence de l’une d’entre elles suffisant à rendre inapplicable ce régime de protection.</w:t>
      </w:r>
    </w:p>
    <w:p>
      <w:pPr>
        <w:pStyle w:val="BodyText"/>
      </w:pPr>
    </w:p>
    <w:p>
      <w:pPr>
        <w:pStyle w:val="BodyText"/>
      </w:pPr>
    </w:p>
    <w:p>
      <w:pPr>
        <w:pStyle w:val="Heading2"/>
        <w:tabs>
          <w:tab w:pos="722" w:val="left" w:leader="none"/>
        </w:tabs>
        <w:ind w:left="363" w:firstLine="0"/>
      </w:pPr>
      <w:r>
        <w:rPr>
          <w:rFonts w:ascii="Arial Black" w:hAnsi="Arial Black"/>
          <w:b w:val="0"/>
          <w:spacing w:val="-10"/>
        </w:rPr>
        <w:t>-</w:t>
      </w:r>
      <w:r>
        <w:rPr>
          <w:rFonts w:ascii="Arial Black" w:hAnsi="Arial Black"/>
          <w:b w:val="0"/>
        </w:rPr>
        <w:tab/>
      </w:r>
      <w:r>
        <w:rPr/>
        <w:t>Sur</w:t>
      </w:r>
      <w:r>
        <w:rPr>
          <w:spacing w:val="2"/>
        </w:rPr>
        <w:t> </w:t>
      </w:r>
      <w:r>
        <w:rPr/>
        <w:t>la</w:t>
      </w:r>
      <w:r>
        <w:rPr>
          <w:spacing w:val="4"/>
        </w:rPr>
        <w:t> </w:t>
      </w:r>
      <w:r>
        <w:rPr/>
        <w:t>renommée</w:t>
      </w:r>
      <w:r>
        <w:rPr>
          <w:spacing w:val="3"/>
        </w:rPr>
        <w:t> </w:t>
      </w:r>
      <w:r>
        <w:rPr/>
        <w:t>de</w:t>
      </w:r>
      <w:r>
        <w:rPr>
          <w:spacing w:val="1"/>
        </w:rPr>
        <w:t> </w:t>
      </w:r>
      <w:r>
        <w:rPr/>
        <w:t>la</w:t>
      </w:r>
      <w:r>
        <w:rPr>
          <w:spacing w:val="4"/>
        </w:rPr>
        <w:t> </w:t>
      </w:r>
      <w:r>
        <w:rPr/>
        <w:t>marque</w:t>
      </w:r>
      <w:r>
        <w:rPr>
          <w:spacing w:val="3"/>
        </w:rPr>
        <w:t> </w:t>
      </w:r>
      <w:r>
        <w:rPr>
          <w:spacing w:val="-2"/>
        </w:rPr>
        <w:t>antérieure</w:t>
      </w:r>
    </w:p>
    <w:p>
      <w:pPr>
        <w:pStyle w:val="BodyText"/>
        <w:rPr>
          <w:rFonts w:ascii="Cambria"/>
          <w:b/>
        </w:rPr>
      </w:pPr>
    </w:p>
    <w:p>
      <w:pPr>
        <w:pStyle w:val="BodyText"/>
        <w:ind w:left="3" w:right="154"/>
        <w:jc w:val="both"/>
      </w:pPr>
      <w:r>
        <w:rPr/>
        <w:t>La renommée implique un seuil de connaissance qui n'est atteint que lorsque la marque antérieure est connue</w:t>
      </w:r>
      <w:r>
        <w:rPr>
          <w:spacing w:val="-2"/>
        </w:rPr>
        <w:t> </w:t>
      </w:r>
      <w:r>
        <w:rPr/>
        <w:t>d'une</w:t>
      </w:r>
      <w:r>
        <w:rPr>
          <w:spacing w:val="-2"/>
        </w:rPr>
        <w:t> </w:t>
      </w:r>
      <w:r>
        <w:rPr/>
        <w:t>partie significative du</w:t>
      </w:r>
      <w:r>
        <w:rPr>
          <w:spacing w:val="-1"/>
        </w:rPr>
        <w:t> </w:t>
      </w:r>
      <w:r>
        <w:rPr/>
        <w:t>public concerné par</w:t>
      </w:r>
      <w:r>
        <w:rPr>
          <w:spacing w:val="-1"/>
        </w:rPr>
        <w:t> </w:t>
      </w:r>
      <w:r>
        <w:rPr/>
        <w:t>les produits ou</w:t>
      </w:r>
      <w:r>
        <w:rPr>
          <w:spacing w:val="-1"/>
        </w:rPr>
        <w:t> </w:t>
      </w:r>
      <w:r>
        <w:rPr/>
        <w:t>services qu'elle désigne.</w:t>
      </w:r>
      <w:r>
        <w:rPr>
          <w:spacing w:val="-1"/>
        </w:rPr>
        <w:t> </w:t>
      </w:r>
      <w:r>
        <w:rPr/>
        <w:t>Le</w:t>
      </w:r>
      <w:r>
        <w:rPr>
          <w:spacing w:val="-2"/>
        </w:rPr>
        <w:t> </w:t>
      </w:r>
      <w:r>
        <w:rPr/>
        <w:t>public auprès</w:t>
      </w:r>
      <w:r>
        <w:rPr>
          <w:spacing w:val="-2"/>
        </w:rPr>
        <w:t> </w:t>
      </w:r>
      <w:r>
        <w:rPr/>
        <w:t>duquel</w:t>
      </w:r>
      <w:r>
        <w:rPr>
          <w:spacing w:val="-2"/>
        </w:rPr>
        <w:t> </w:t>
      </w:r>
      <w:r>
        <w:rPr/>
        <w:t>la</w:t>
      </w:r>
      <w:r>
        <w:rPr>
          <w:spacing w:val="-2"/>
        </w:rPr>
        <w:t> </w:t>
      </w:r>
      <w:r>
        <w:rPr/>
        <w:t>marque antérieure doit</w:t>
      </w:r>
      <w:r>
        <w:rPr>
          <w:spacing w:val="-2"/>
        </w:rPr>
        <w:t> </w:t>
      </w:r>
      <w:r>
        <w:rPr/>
        <w:t>avoir</w:t>
      </w:r>
      <w:r>
        <w:rPr>
          <w:spacing w:val="-1"/>
        </w:rPr>
        <w:t> </w:t>
      </w:r>
      <w:r>
        <w:rPr/>
        <w:t>acquis une</w:t>
      </w:r>
      <w:r>
        <w:rPr>
          <w:spacing w:val="-2"/>
        </w:rPr>
        <w:t> </w:t>
      </w:r>
      <w:r>
        <w:rPr/>
        <w:t>renommée est celui concerné par cette marque, c'est-à-dire selon le produit ou service commercialisé, le grand public ou un public plus spécialisé</w:t>
      </w:r>
    </w:p>
    <w:p>
      <w:pPr>
        <w:pStyle w:val="BodyText"/>
      </w:pPr>
    </w:p>
    <w:p>
      <w:pPr>
        <w:pStyle w:val="BodyText"/>
        <w:ind w:left="3" w:right="149"/>
        <w:jc w:val="both"/>
      </w:pPr>
      <w:r>
        <w:rPr/>
        <w:t>Afin de déterminer le niveau de renommée de la marque, il convient de prendre en considération tous les éléments pertinents de la cause, à savoir, notamment, la part de marché détenue par la marque, l’intensité, l’étendue géographique et la durée de son usage, ainsi que l’importance des investissements réalisés par l’entreprise pour la promouvoir.</w:t>
      </w:r>
    </w:p>
    <w:p>
      <w:pPr>
        <w:pStyle w:val="BodyText"/>
      </w:pPr>
    </w:p>
    <w:p>
      <w:pPr>
        <w:pStyle w:val="BodyText"/>
        <w:ind w:left="3" w:right="156"/>
        <w:jc w:val="both"/>
      </w:pPr>
      <w:r>
        <w:rPr/>
        <w:t>En l’espèce la société opposante invoque la renommée de la marque verbale française SAUVAGE n°4060262.</w:t>
      </w:r>
    </w:p>
    <w:p>
      <w:pPr>
        <w:pStyle w:val="BodyText"/>
        <w:spacing w:after="0"/>
        <w:jc w:val="both"/>
        <w:sectPr>
          <w:footerReference w:type="default" r:id="rId9"/>
          <w:pgSz w:w="11910" w:h="16840"/>
          <w:pgMar w:header="0" w:footer="347" w:top="1900" w:bottom="540" w:left="1417" w:right="1275"/>
        </w:sectPr>
      </w:pPr>
    </w:p>
    <w:p>
      <w:pPr>
        <w:pStyle w:val="BodyText"/>
        <w:spacing w:before="68"/>
        <w:ind w:left="3"/>
        <w:jc w:val="both"/>
      </w:pPr>
      <w:r>
        <w:rPr/>
        <w:t>Dans</w:t>
      </w:r>
      <w:r>
        <w:rPr>
          <w:spacing w:val="-3"/>
        </w:rPr>
        <w:t> </w:t>
      </w:r>
      <w:r>
        <w:rPr/>
        <w:t>le récapitulatif</w:t>
      </w:r>
      <w:r>
        <w:rPr>
          <w:spacing w:val="3"/>
        </w:rPr>
        <w:t> </w:t>
      </w:r>
      <w:r>
        <w:rPr/>
        <w:t>d’opposition, la renommée est invoquée</w:t>
      </w:r>
      <w:r>
        <w:rPr>
          <w:spacing w:val="-2"/>
        </w:rPr>
        <w:t> </w:t>
      </w:r>
      <w:r>
        <w:rPr/>
        <w:t>au regard</w:t>
      </w:r>
      <w:r>
        <w:rPr>
          <w:spacing w:val="-1"/>
        </w:rPr>
        <w:t> </w:t>
      </w:r>
      <w:r>
        <w:rPr/>
        <w:t>des produits suivants</w:t>
      </w:r>
      <w:r>
        <w:rPr>
          <w:spacing w:val="1"/>
        </w:rPr>
        <w:t> </w:t>
      </w:r>
      <w:r>
        <w:rPr>
          <w:spacing w:val="-10"/>
        </w:rPr>
        <w:t>:</w:t>
      </w:r>
    </w:p>
    <w:p>
      <w:pPr>
        <w:spacing w:before="0"/>
        <w:ind w:left="3" w:right="0" w:firstLine="0"/>
        <w:jc w:val="both"/>
        <w:rPr>
          <w:sz w:val="24"/>
        </w:rPr>
      </w:pPr>
      <w:r>
        <w:rPr>
          <w:sz w:val="24"/>
        </w:rPr>
        <w:t>«</w:t>
      </w:r>
      <w:r>
        <w:rPr>
          <w:spacing w:val="-5"/>
          <w:sz w:val="24"/>
        </w:rPr>
        <w:t> </w:t>
      </w:r>
      <w:r>
        <w:rPr>
          <w:i/>
          <w:sz w:val="24"/>
        </w:rPr>
        <w:t>Produits</w:t>
      </w:r>
      <w:r>
        <w:rPr>
          <w:i/>
          <w:spacing w:val="-4"/>
          <w:sz w:val="24"/>
        </w:rPr>
        <w:t> </w:t>
      </w:r>
      <w:r>
        <w:rPr>
          <w:i/>
          <w:sz w:val="24"/>
        </w:rPr>
        <w:t>de</w:t>
      </w:r>
      <w:r>
        <w:rPr>
          <w:i/>
          <w:spacing w:val="-5"/>
          <w:sz w:val="24"/>
        </w:rPr>
        <w:t> </w:t>
      </w:r>
      <w:r>
        <w:rPr>
          <w:i/>
          <w:sz w:val="24"/>
        </w:rPr>
        <w:t>parfumerie</w:t>
      </w:r>
      <w:r>
        <w:rPr>
          <w:i/>
          <w:spacing w:val="-3"/>
          <w:sz w:val="24"/>
        </w:rPr>
        <w:t> </w:t>
      </w:r>
      <w:r>
        <w:rPr>
          <w:i/>
          <w:sz w:val="24"/>
        </w:rPr>
        <w:t>notamment</w:t>
      </w:r>
      <w:r>
        <w:rPr>
          <w:i/>
          <w:spacing w:val="-3"/>
          <w:sz w:val="24"/>
        </w:rPr>
        <w:t> </w:t>
      </w:r>
      <w:r>
        <w:rPr>
          <w:i/>
          <w:sz w:val="24"/>
        </w:rPr>
        <w:t>parfums</w:t>
      </w:r>
      <w:r>
        <w:rPr>
          <w:i/>
          <w:spacing w:val="-1"/>
          <w:sz w:val="24"/>
        </w:rPr>
        <w:t> </w:t>
      </w:r>
      <w:r>
        <w:rPr>
          <w:spacing w:val="-5"/>
          <w:sz w:val="24"/>
        </w:rPr>
        <w:t>».</w:t>
      </w:r>
    </w:p>
    <w:p>
      <w:pPr>
        <w:pStyle w:val="BodyText"/>
      </w:pPr>
    </w:p>
    <w:p>
      <w:pPr>
        <w:spacing w:before="0"/>
        <w:ind w:left="3" w:right="141" w:firstLine="0"/>
        <w:jc w:val="both"/>
        <w:rPr>
          <w:sz w:val="24"/>
        </w:rPr>
      </w:pPr>
      <w:r>
        <w:rPr>
          <w:sz w:val="24"/>
        </w:rPr>
        <w:t>A ce titre, la société opposante soutient avoir « </w:t>
      </w:r>
      <w:r>
        <w:rPr>
          <w:i/>
          <w:sz w:val="24"/>
        </w:rPr>
        <w:t>notamment développé, sous la dénomination SAUVAGE, une</w:t>
      </w:r>
      <w:r>
        <w:rPr>
          <w:i/>
          <w:spacing w:val="-1"/>
          <w:sz w:val="24"/>
        </w:rPr>
        <w:t> </w:t>
      </w:r>
      <w:r>
        <w:rPr>
          <w:i/>
          <w:sz w:val="24"/>
        </w:rPr>
        <w:t>gamme</w:t>
      </w:r>
      <w:r>
        <w:rPr>
          <w:i/>
          <w:spacing w:val="-1"/>
          <w:sz w:val="24"/>
        </w:rPr>
        <w:t> </w:t>
      </w:r>
      <w:r>
        <w:rPr>
          <w:i/>
          <w:sz w:val="24"/>
        </w:rPr>
        <w:t>de</w:t>
      </w:r>
      <w:r>
        <w:rPr>
          <w:i/>
          <w:spacing w:val="-1"/>
          <w:sz w:val="24"/>
        </w:rPr>
        <w:t> </w:t>
      </w:r>
      <w:r>
        <w:rPr>
          <w:i/>
          <w:sz w:val="24"/>
        </w:rPr>
        <w:t>produits de</w:t>
      </w:r>
      <w:r>
        <w:rPr>
          <w:i/>
          <w:spacing w:val="-1"/>
          <w:sz w:val="24"/>
        </w:rPr>
        <w:t> </w:t>
      </w:r>
      <w:r>
        <w:rPr>
          <w:i/>
          <w:sz w:val="24"/>
        </w:rPr>
        <w:t>parfumerie</w:t>
      </w:r>
      <w:r>
        <w:rPr>
          <w:i/>
          <w:spacing w:val="-1"/>
          <w:sz w:val="24"/>
        </w:rPr>
        <w:t> </w:t>
      </w:r>
      <w:r>
        <w:rPr>
          <w:i/>
          <w:sz w:val="24"/>
        </w:rPr>
        <w:t>et de</w:t>
      </w:r>
      <w:r>
        <w:rPr>
          <w:i/>
          <w:spacing w:val="-2"/>
          <w:sz w:val="24"/>
        </w:rPr>
        <w:t> </w:t>
      </w:r>
      <w:r>
        <w:rPr>
          <w:i/>
          <w:sz w:val="24"/>
        </w:rPr>
        <w:t>soin </w:t>
      </w:r>
      <w:r>
        <w:rPr>
          <w:sz w:val="24"/>
        </w:rPr>
        <w:t>» et</w:t>
      </w:r>
      <w:r>
        <w:rPr>
          <w:spacing w:val="-1"/>
          <w:sz w:val="24"/>
        </w:rPr>
        <w:t> </w:t>
      </w:r>
      <w:r>
        <w:rPr>
          <w:sz w:val="24"/>
        </w:rPr>
        <w:t>qu’elle a</w:t>
      </w:r>
      <w:r>
        <w:rPr>
          <w:spacing w:val="-2"/>
          <w:sz w:val="24"/>
        </w:rPr>
        <w:t> </w:t>
      </w:r>
      <w:r>
        <w:rPr>
          <w:sz w:val="24"/>
        </w:rPr>
        <w:t>« </w:t>
      </w:r>
      <w:r>
        <w:rPr>
          <w:i/>
          <w:sz w:val="24"/>
        </w:rPr>
        <w:t>développé depuis 1966 une importante famille de marques autour du terme SAUVAGE sur lequel elle a fortement capitalisé </w:t>
      </w:r>
      <w:r>
        <w:rPr>
          <w:sz w:val="24"/>
        </w:rPr>
        <w:t>». Elle fait valoir qu’elle « </w:t>
      </w:r>
      <w:r>
        <w:rPr>
          <w:i/>
          <w:sz w:val="24"/>
        </w:rPr>
        <w:t>est notamment titulaire de nombreuses marques reprenant la dénomination « SAUVAGE » en France et dans le monde </w:t>
      </w:r>
      <w:r>
        <w:rPr>
          <w:sz w:val="24"/>
        </w:rPr>
        <w:t>».</w:t>
      </w:r>
    </w:p>
    <w:p>
      <w:pPr>
        <w:pStyle w:val="BodyText"/>
      </w:pPr>
    </w:p>
    <w:p>
      <w:pPr>
        <w:pStyle w:val="BodyText"/>
      </w:pPr>
    </w:p>
    <w:p>
      <w:pPr>
        <w:pStyle w:val="BodyText"/>
        <w:ind w:left="3" w:right="152"/>
        <w:jc w:val="both"/>
      </w:pPr>
      <w:r>
        <w:rPr/>
        <w:t>Elle soutient plus particulièrement que la marque antérieure « est très largement exploitée en France pour désigner un parfum pour homme, ainsi que des savons, de lotions et baumes après-rasage, des déodorants et un gel douche » et que « cette marque bénéficie d’une très large visibilité dans les médias grâce à l’importante campagne publicitaire mise en place par l’opposante et portée à l’écran par l’artiste de renommée internationale Johnny DEPP ».</w:t>
      </w:r>
    </w:p>
    <w:p>
      <w:pPr>
        <w:pStyle w:val="BodyText"/>
      </w:pPr>
    </w:p>
    <w:p>
      <w:pPr>
        <w:pStyle w:val="BodyText"/>
        <w:ind w:left="3"/>
        <w:jc w:val="both"/>
      </w:pPr>
      <w:r>
        <w:rPr/>
        <w:t>En</w:t>
      </w:r>
      <w:r>
        <w:rPr>
          <w:spacing w:val="-5"/>
        </w:rPr>
        <w:t> </w:t>
      </w:r>
      <w:r>
        <w:rPr/>
        <w:t>ce</w:t>
      </w:r>
      <w:r>
        <w:rPr>
          <w:spacing w:val="-3"/>
        </w:rPr>
        <w:t> </w:t>
      </w:r>
      <w:r>
        <w:rPr/>
        <w:t>sens,</w:t>
      </w:r>
      <w:r>
        <w:rPr>
          <w:spacing w:val="-4"/>
        </w:rPr>
        <w:t> </w:t>
      </w:r>
      <w:r>
        <w:rPr/>
        <w:t>la</w:t>
      </w:r>
      <w:r>
        <w:rPr>
          <w:spacing w:val="-4"/>
        </w:rPr>
        <w:t> </w:t>
      </w:r>
      <w:r>
        <w:rPr/>
        <w:t>société</w:t>
      </w:r>
      <w:r>
        <w:rPr>
          <w:spacing w:val="-1"/>
        </w:rPr>
        <w:t> </w:t>
      </w:r>
      <w:r>
        <w:rPr/>
        <w:t>opposante</w:t>
      </w:r>
      <w:r>
        <w:rPr>
          <w:spacing w:val="-6"/>
        </w:rPr>
        <w:t> </w:t>
      </w:r>
      <w:r>
        <w:rPr/>
        <w:t>produit</w:t>
      </w:r>
      <w:r>
        <w:rPr>
          <w:spacing w:val="-3"/>
        </w:rPr>
        <w:t> </w:t>
      </w:r>
      <w:r>
        <w:rPr/>
        <w:t>notamment</w:t>
      </w:r>
      <w:r>
        <w:rPr>
          <w:spacing w:val="-1"/>
        </w:rPr>
        <w:t> </w:t>
      </w:r>
      <w:r>
        <w:rPr/>
        <w:t>les</w:t>
      </w:r>
      <w:r>
        <w:rPr>
          <w:spacing w:val="-5"/>
        </w:rPr>
        <w:t> </w:t>
      </w:r>
      <w:r>
        <w:rPr/>
        <w:t>pièces</w:t>
      </w:r>
      <w:r>
        <w:rPr>
          <w:spacing w:val="-2"/>
        </w:rPr>
        <w:t> </w:t>
      </w:r>
      <w:r>
        <w:rPr/>
        <w:t>suivantes</w:t>
      </w:r>
      <w:r>
        <w:rPr>
          <w:spacing w:val="-4"/>
        </w:rPr>
        <w:t> </w:t>
      </w:r>
      <w:r>
        <w:rPr>
          <w:spacing w:val="-10"/>
        </w:rPr>
        <w:t>:</w:t>
      </w:r>
    </w:p>
    <w:p>
      <w:pPr>
        <w:pStyle w:val="BodyText"/>
        <w:spacing w:before="4"/>
      </w:pPr>
    </w:p>
    <w:p>
      <w:pPr>
        <w:pStyle w:val="ListParagraph"/>
        <w:numPr>
          <w:ilvl w:val="0"/>
          <w:numId w:val="1"/>
        </w:numPr>
        <w:tabs>
          <w:tab w:pos="723" w:val="left" w:leader="none"/>
        </w:tabs>
        <w:spacing w:line="240" w:lineRule="auto" w:before="0" w:after="0"/>
        <w:ind w:left="723" w:right="141" w:hanging="360"/>
        <w:jc w:val="both"/>
        <w:rPr>
          <w:sz w:val="24"/>
        </w:rPr>
      </w:pPr>
      <w:r>
        <w:rPr>
          <w:sz w:val="24"/>
        </w:rPr>
        <w:t>un article publié le 28 novembre 2018 dans le journal Le Figaro évoquant le succès mondial du</w:t>
      </w:r>
      <w:r>
        <w:rPr>
          <w:spacing w:val="-1"/>
          <w:sz w:val="24"/>
        </w:rPr>
        <w:t> </w:t>
      </w:r>
      <w:r>
        <w:rPr>
          <w:sz w:val="24"/>
        </w:rPr>
        <w:t>parfum SAUVAGE,</w:t>
      </w:r>
      <w:r>
        <w:rPr>
          <w:spacing w:val="-1"/>
          <w:sz w:val="24"/>
        </w:rPr>
        <w:t> </w:t>
      </w:r>
      <w:r>
        <w:rPr>
          <w:sz w:val="24"/>
        </w:rPr>
        <w:t>qui</w:t>
      </w:r>
      <w:r>
        <w:rPr>
          <w:spacing w:val="-2"/>
          <w:sz w:val="24"/>
        </w:rPr>
        <w:t> </w:t>
      </w:r>
      <w:r>
        <w:rPr>
          <w:sz w:val="24"/>
        </w:rPr>
        <w:t>mentionne notamment qu’« </w:t>
      </w:r>
      <w:r>
        <w:rPr>
          <w:i/>
          <w:sz w:val="24"/>
        </w:rPr>
        <w:t>un</w:t>
      </w:r>
      <w:r>
        <w:rPr>
          <w:i/>
          <w:spacing w:val="-1"/>
          <w:sz w:val="24"/>
        </w:rPr>
        <w:t> </w:t>
      </w:r>
      <w:r>
        <w:rPr>
          <w:i/>
          <w:sz w:val="24"/>
        </w:rPr>
        <w:t>flacon Sauvage</w:t>
      </w:r>
      <w:r>
        <w:rPr>
          <w:i/>
          <w:spacing w:val="-2"/>
          <w:sz w:val="24"/>
        </w:rPr>
        <w:t> </w:t>
      </w:r>
      <w:r>
        <w:rPr>
          <w:i/>
          <w:sz w:val="24"/>
        </w:rPr>
        <w:t>de Dior se vend toutes les 4 secondes en moyenne, ce qui le hisse dans le top 3 des parfums masculins les plus vendus dans le monde. Depuis son lancement en 2015, 30 millions de flacons ont été écoulés </w:t>
      </w:r>
      <w:r>
        <w:rPr>
          <w:sz w:val="24"/>
        </w:rPr>
        <w:t>» ;</w:t>
      </w:r>
    </w:p>
    <w:p>
      <w:pPr>
        <w:pStyle w:val="BodyText"/>
        <w:spacing w:before="3"/>
      </w:pPr>
    </w:p>
    <w:p>
      <w:pPr>
        <w:pStyle w:val="ListParagraph"/>
        <w:numPr>
          <w:ilvl w:val="0"/>
          <w:numId w:val="1"/>
        </w:numPr>
        <w:tabs>
          <w:tab w:pos="723" w:val="left" w:leader="none"/>
        </w:tabs>
        <w:spacing w:line="237" w:lineRule="auto" w:before="0" w:after="0"/>
        <w:ind w:left="723" w:right="144" w:hanging="360"/>
        <w:jc w:val="both"/>
        <w:rPr>
          <w:sz w:val="24"/>
        </w:rPr>
      </w:pPr>
      <w:r>
        <w:rPr>
          <w:sz w:val="24"/>
        </w:rPr>
        <w:t>un article publié le 28 juin 2023 sur le site Internet </w:t>
      </w:r>
      <w:hyperlink r:id="rId10">
        <w:r>
          <w:rPr>
            <w:sz w:val="24"/>
          </w:rPr>
          <w:t>www.gentside.com,</w:t>
        </w:r>
      </w:hyperlink>
      <w:r>
        <w:rPr>
          <w:sz w:val="24"/>
        </w:rPr>
        <w:t> qui mentionne à propos du parfum vendu sous la marque SAUVAGE : «</w:t>
      </w:r>
      <w:r>
        <w:rPr>
          <w:spacing w:val="25"/>
          <w:sz w:val="24"/>
        </w:rPr>
        <w:t> </w:t>
      </w:r>
      <w:r>
        <w:rPr>
          <w:i/>
          <w:sz w:val="24"/>
        </w:rPr>
        <w:t>parfum ambré de luxe, élu</w:t>
      </w:r>
      <w:r>
        <w:rPr>
          <w:i/>
          <w:spacing w:val="40"/>
          <w:sz w:val="24"/>
        </w:rPr>
        <w:t> </w:t>
      </w:r>
      <w:r>
        <w:rPr>
          <w:i/>
          <w:sz w:val="24"/>
        </w:rPr>
        <w:t>le plus vendu au monde </w:t>
      </w:r>
      <w:r>
        <w:rPr>
          <w:sz w:val="24"/>
        </w:rPr>
        <w:t>» ;</w:t>
      </w:r>
    </w:p>
    <w:p>
      <w:pPr>
        <w:pStyle w:val="BodyText"/>
        <w:spacing w:before="10"/>
      </w:pPr>
    </w:p>
    <w:p>
      <w:pPr>
        <w:pStyle w:val="ListParagraph"/>
        <w:numPr>
          <w:ilvl w:val="0"/>
          <w:numId w:val="1"/>
        </w:numPr>
        <w:tabs>
          <w:tab w:pos="723" w:val="left" w:leader="none"/>
        </w:tabs>
        <w:spacing w:line="235" w:lineRule="auto" w:before="0" w:after="0"/>
        <w:ind w:left="723" w:right="156" w:hanging="360"/>
        <w:jc w:val="both"/>
        <w:rPr>
          <w:sz w:val="24"/>
        </w:rPr>
      </w:pPr>
      <w:r>
        <w:rPr>
          <w:sz w:val="24"/>
        </w:rPr>
        <w:t>un article publié le 20 février 2024 sur le site Internet </w:t>
      </w:r>
      <w:hyperlink r:id="rId11">
        <w:r>
          <w:rPr>
            <w:sz w:val="24"/>
          </w:rPr>
          <w:t>www.gqmagazine.fr,</w:t>
        </w:r>
      </w:hyperlink>
      <w:r>
        <w:rPr>
          <w:sz w:val="24"/>
        </w:rPr>
        <w:t> qui cite le parfum SAUVAGE parmi : « </w:t>
      </w:r>
      <w:r>
        <w:rPr>
          <w:i/>
          <w:sz w:val="24"/>
        </w:rPr>
        <w:t>les parfums pour hommes que les femmes préfèrent </w:t>
      </w:r>
      <w:r>
        <w:rPr>
          <w:sz w:val="24"/>
        </w:rPr>
        <w:t>» ;</w:t>
      </w:r>
    </w:p>
    <w:p>
      <w:pPr>
        <w:pStyle w:val="BodyText"/>
        <w:spacing w:before="8"/>
      </w:pPr>
    </w:p>
    <w:p>
      <w:pPr>
        <w:pStyle w:val="ListParagraph"/>
        <w:numPr>
          <w:ilvl w:val="0"/>
          <w:numId w:val="1"/>
        </w:numPr>
        <w:tabs>
          <w:tab w:pos="723" w:val="left" w:leader="none"/>
        </w:tabs>
        <w:spacing w:line="240" w:lineRule="auto" w:before="0" w:after="0"/>
        <w:ind w:left="723" w:right="148" w:hanging="360"/>
        <w:jc w:val="both"/>
        <w:rPr>
          <w:sz w:val="24"/>
        </w:rPr>
      </w:pPr>
      <w:r>
        <w:rPr>
          <w:sz w:val="24"/>
        </w:rPr>
        <w:t>un article publié le 24 janvier 2022 sur le site Internet </w:t>
      </w:r>
      <w:hyperlink r:id="rId12">
        <w:r>
          <w:rPr>
            <w:sz w:val="24"/>
          </w:rPr>
          <w:t>www.journaldesfemmes.fr,</w:t>
        </w:r>
      </w:hyperlink>
      <w:r>
        <w:rPr>
          <w:sz w:val="24"/>
        </w:rPr>
        <w:t> intitulé « Ce parfum homme est vendu toutes les 3 secondes dans le monde » qui mentionne notamment à propos du parfum vendu sous la marque SAUVAGE que« C’est la première fois qu’un parfum pour hommes se hisse en tête des ventes mondiales. Vendu toutes les trois secondes sur la planète, ce parfum Dior fait un</w:t>
      </w:r>
      <w:r>
        <w:rPr>
          <w:spacing w:val="40"/>
          <w:sz w:val="24"/>
        </w:rPr>
        <w:t> </w:t>
      </w:r>
      <w:r>
        <w:rPr>
          <w:sz w:val="24"/>
        </w:rPr>
        <w:t>carton » ;</w:t>
      </w:r>
    </w:p>
    <w:p>
      <w:pPr>
        <w:pStyle w:val="ListParagraph"/>
        <w:numPr>
          <w:ilvl w:val="0"/>
          <w:numId w:val="1"/>
        </w:numPr>
        <w:tabs>
          <w:tab w:pos="723" w:val="left" w:leader="none"/>
        </w:tabs>
        <w:spacing w:line="240" w:lineRule="auto" w:before="275" w:after="0"/>
        <w:ind w:left="723" w:right="139" w:hanging="360"/>
        <w:jc w:val="both"/>
        <w:rPr>
          <w:sz w:val="24"/>
        </w:rPr>
      </w:pPr>
      <w:r>
        <w:rPr>
          <w:sz w:val="24"/>
        </w:rPr>
        <w:t>un article publié le 23 janvier 2022 sur le site Internet </w:t>
      </w:r>
      <w:hyperlink r:id="rId13">
        <w:r>
          <w:rPr>
            <w:sz w:val="24"/>
          </w:rPr>
          <w:t>www.lejdd.fr,</w:t>
        </w:r>
      </w:hyperlink>
      <w:r>
        <w:rPr>
          <w:sz w:val="24"/>
        </w:rPr>
        <w:t> intitulé « </w:t>
      </w:r>
      <w:r>
        <w:rPr>
          <w:i/>
          <w:sz w:val="24"/>
        </w:rPr>
        <w:t>Avec « Sauvage » de Dior, pour la première fois un parfum masculin se hisse en tête des ventes mondiales </w:t>
      </w:r>
      <w:r>
        <w:rPr>
          <w:sz w:val="24"/>
        </w:rPr>
        <w:t>», qui mentionne notamment à propos du parfum vendu sous la marque SAUVAGE : « </w:t>
      </w:r>
      <w:r>
        <w:rPr>
          <w:i/>
          <w:sz w:val="24"/>
        </w:rPr>
        <w:t>Ce parfum homme est vendu toutes les 3 secondes dans le monde </w:t>
      </w:r>
      <w:r>
        <w:rPr>
          <w:sz w:val="24"/>
        </w:rPr>
        <w:t>».</w:t>
      </w:r>
    </w:p>
    <w:p>
      <w:pPr>
        <w:pStyle w:val="BodyText"/>
        <w:spacing w:before="272"/>
        <w:ind w:left="3"/>
        <w:jc w:val="both"/>
      </w:pPr>
      <w:r>
        <w:rPr/>
        <w:t>Elle</w:t>
      </w:r>
      <w:r>
        <w:rPr>
          <w:spacing w:val="-5"/>
        </w:rPr>
        <w:t> </w:t>
      </w:r>
      <w:r>
        <w:rPr/>
        <w:t>produit</w:t>
      </w:r>
      <w:r>
        <w:rPr>
          <w:spacing w:val="-5"/>
        </w:rPr>
        <w:t> </w:t>
      </w:r>
      <w:r>
        <w:rPr/>
        <w:t>également</w:t>
      </w:r>
      <w:r>
        <w:rPr>
          <w:spacing w:val="-2"/>
        </w:rPr>
        <w:t> </w:t>
      </w:r>
      <w:r>
        <w:rPr>
          <w:spacing w:val="-10"/>
        </w:rPr>
        <w:t>:</w:t>
      </w:r>
    </w:p>
    <w:p>
      <w:pPr>
        <w:pStyle w:val="ListParagraph"/>
        <w:numPr>
          <w:ilvl w:val="0"/>
          <w:numId w:val="1"/>
        </w:numPr>
        <w:tabs>
          <w:tab w:pos="723" w:val="left" w:leader="none"/>
        </w:tabs>
        <w:spacing w:line="235" w:lineRule="auto" w:before="250" w:after="0"/>
        <w:ind w:left="723" w:right="147" w:hanging="360"/>
        <w:jc w:val="both"/>
        <w:rPr>
          <w:sz w:val="24"/>
        </w:rPr>
      </w:pPr>
      <w:r>
        <w:rPr>
          <w:sz w:val="24"/>
        </w:rPr>
        <w:t>un article issu de gqmagazine.fr intitulé « </w:t>
      </w:r>
      <w:r>
        <w:rPr>
          <w:i/>
          <w:sz w:val="24"/>
        </w:rPr>
        <w:t>Johnny Depp, born to be Sauvage pour le nouveau parfum Dior </w:t>
      </w:r>
      <w:r>
        <w:rPr>
          <w:sz w:val="24"/>
        </w:rPr>
        <w:t>» en date du 19 août 2015 ;</w:t>
      </w:r>
    </w:p>
    <w:p>
      <w:pPr>
        <w:pStyle w:val="ListParagraph"/>
        <w:spacing w:after="0" w:line="235" w:lineRule="auto"/>
        <w:jc w:val="both"/>
        <w:rPr>
          <w:sz w:val="24"/>
        </w:rPr>
        <w:sectPr>
          <w:pgSz w:w="11910" w:h="16840"/>
          <w:pgMar w:header="0" w:footer="347" w:top="1900" w:bottom="540" w:left="1417" w:right="1275"/>
        </w:sectPr>
      </w:pPr>
    </w:p>
    <w:p>
      <w:pPr>
        <w:pStyle w:val="ListParagraph"/>
        <w:numPr>
          <w:ilvl w:val="0"/>
          <w:numId w:val="1"/>
        </w:numPr>
        <w:tabs>
          <w:tab w:pos="722" w:val="left" w:leader="none"/>
        </w:tabs>
        <w:spacing w:line="240" w:lineRule="auto" w:before="71" w:after="0"/>
        <w:ind w:left="722" w:right="0" w:hanging="359"/>
        <w:jc w:val="left"/>
        <w:rPr>
          <w:sz w:val="24"/>
        </w:rPr>
      </w:pPr>
      <w:r>
        <w:rPr>
          <w:sz w:val="24"/>
        </w:rPr>
        <w:t>un</w:t>
      </w:r>
      <w:r>
        <w:rPr>
          <w:spacing w:val="-5"/>
          <w:sz w:val="24"/>
        </w:rPr>
        <w:t> </w:t>
      </w:r>
      <w:r>
        <w:rPr>
          <w:sz w:val="24"/>
        </w:rPr>
        <w:t>extrait</w:t>
      </w:r>
      <w:r>
        <w:rPr>
          <w:spacing w:val="-3"/>
          <w:sz w:val="24"/>
        </w:rPr>
        <w:t> </w:t>
      </w:r>
      <w:r>
        <w:rPr>
          <w:sz w:val="24"/>
        </w:rPr>
        <w:t>du</w:t>
      </w:r>
      <w:r>
        <w:rPr>
          <w:spacing w:val="-2"/>
          <w:sz w:val="24"/>
        </w:rPr>
        <w:t> </w:t>
      </w:r>
      <w:r>
        <w:rPr>
          <w:sz w:val="24"/>
        </w:rPr>
        <w:t>site</w:t>
      </w:r>
      <w:r>
        <w:rPr>
          <w:spacing w:val="-3"/>
          <w:sz w:val="24"/>
        </w:rPr>
        <w:t> </w:t>
      </w:r>
      <w:hyperlink r:id="rId14">
        <w:r>
          <w:rPr>
            <w:sz w:val="24"/>
          </w:rPr>
          <w:t>www.lvmh.fr</w:t>
        </w:r>
      </w:hyperlink>
      <w:r>
        <w:rPr>
          <w:spacing w:val="-2"/>
          <w:sz w:val="24"/>
        </w:rPr>
        <w:t> </w:t>
      </w:r>
      <w:r>
        <w:rPr>
          <w:sz w:val="24"/>
        </w:rPr>
        <w:t>portant</w:t>
      </w:r>
      <w:r>
        <w:rPr>
          <w:spacing w:val="-4"/>
          <w:sz w:val="24"/>
        </w:rPr>
        <w:t> </w:t>
      </w:r>
      <w:r>
        <w:rPr>
          <w:sz w:val="24"/>
        </w:rPr>
        <w:t>sur</w:t>
      </w:r>
      <w:r>
        <w:rPr>
          <w:spacing w:val="-2"/>
          <w:sz w:val="24"/>
        </w:rPr>
        <w:t> </w:t>
      </w:r>
      <w:r>
        <w:rPr>
          <w:sz w:val="24"/>
        </w:rPr>
        <w:t>les</w:t>
      </w:r>
      <w:r>
        <w:rPr>
          <w:spacing w:val="-3"/>
          <w:sz w:val="24"/>
        </w:rPr>
        <w:t> </w:t>
      </w:r>
      <w:r>
        <w:rPr>
          <w:sz w:val="24"/>
        </w:rPr>
        <w:t>ventes</w:t>
      </w:r>
      <w:r>
        <w:rPr>
          <w:spacing w:val="-2"/>
          <w:sz w:val="24"/>
        </w:rPr>
        <w:t> </w:t>
      </w:r>
      <w:r>
        <w:rPr>
          <w:sz w:val="24"/>
        </w:rPr>
        <w:t>des</w:t>
      </w:r>
      <w:r>
        <w:rPr>
          <w:spacing w:val="-3"/>
          <w:sz w:val="24"/>
        </w:rPr>
        <w:t> </w:t>
      </w:r>
      <w:r>
        <w:rPr>
          <w:sz w:val="24"/>
        </w:rPr>
        <w:t>produits</w:t>
      </w:r>
      <w:r>
        <w:rPr>
          <w:spacing w:val="-3"/>
          <w:sz w:val="24"/>
        </w:rPr>
        <w:t> </w:t>
      </w:r>
      <w:r>
        <w:rPr>
          <w:sz w:val="24"/>
        </w:rPr>
        <w:t>du</w:t>
      </w:r>
      <w:r>
        <w:rPr>
          <w:spacing w:val="-3"/>
          <w:sz w:val="24"/>
        </w:rPr>
        <w:t> </w:t>
      </w:r>
      <w:r>
        <w:rPr>
          <w:sz w:val="24"/>
        </w:rPr>
        <w:t>groupe</w:t>
      </w:r>
      <w:r>
        <w:rPr>
          <w:spacing w:val="-3"/>
          <w:sz w:val="24"/>
        </w:rPr>
        <w:t> </w:t>
      </w:r>
      <w:r>
        <w:rPr>
          <w:sz w:val="24"/>
        </w:rPr>
        <w:t>en</w:t>
      </w:r>
      <w:r>
        <w:rPr>
          <w:spacing w:val="-2"/>
          <w:sz w:val="24"/>
        </w:rPr>
        <w:t> 2022.</w:t>
      </w:r>
    </w:p>
    <w:p>
      <w:pPr>
        <w:pStyle w:val="BodyText"/>
        <w:spacing w:before="272"/>
        <w:ind w:left="3" w:right="143"/>
        <w:jc w:val="both"/>
      </w:pPr>
      <w:r>
        <w:rPr/>
        <w:t>Il ressort de l’ensemble des pièces transmises par la société opposante que la marque antérieure SAUVAGE n°4060262 fait l’objet d’un usage intensif et qu’elle est largement connue notamment sur le marché français pour désigner des « </w:t>
      </w:r>
      <w:r>
        <w:rPr>
          <w:i/>
        </w:rPr>
        <w:t>Produits de parfumerie notamment parfums </w:t>
      </w:r>
      <w:r>
        <w:rPr/>
        <w:t>», de sorte qu’elle bénéficie d’une forte renommée, ce qui n’est pas contesté par la déposante.</w:t>
      </w:r>
    </w:p>
    <w:p>
      <w:pPr>
        <w:pStyle w:val="BodyText"/>
      </w:pPr>
    </w:p>
    <w:p>
      <w:pPr>
        <w:pStyle w:val="BodyText"/>
        <w:ind w:left="3" w:right="152"/>
        <w:jc w:val="both"/>
      </w:pPr>
      <w:r>
        <w:rPr/>
        <w:t>En conséquence, il convient d’examiner l’atteinte portée par le signe contesté à la renommée de la marque antérieure pour les produits précités.</w:t>
      </w:r>
    </w:p>
    <w:p>
      <w:pPr>
        <w:pStyle w:val="BodyText"/>
      </w:pPr>
    </w:p>
    <w:p>
      <w:pPr>
        <w:pStyle w:val="BodyText"/>
      </w:pPr>
    </w:p>
    <w:p>
      <w:pPr>
        <w:pStyle w:val="Heading2"/>
        <w:tabs>
          <w:tab w:pos="722" w:val="left" w:leader="none"/>
        </w:tabs>
        <w:ind w:left="363" w:firstLine="0"/>
      </w:pPr>
      <w:r>
        <w:rPr>
          <w:rFonts w:ascii="Arial Black"/>
          <w:b w:val="0"/>
          <w:spacing w:val="-10"/>
        </w:rPr>
        <w:t>-</w:t>
      </w:r>
      <w:r>
        <w:rPr>
          <w:rFonts w:ascii="Arial Black"/>
          <w:b w:val="0"/>
        </w:rPr>
        <w:tab/>
      </w:r>
      <w:r>
        <w:rPr/>
        <w:t>Sur</w:t>
      </w:r>
      <w:r>
        <w:rPr>
          <w:spacing w:val="6"/>
        </w:rPr>
        <w:t> </w:t>
      </w:r>
      <w:r>
        <w:rPr/>
        <w:t>la</w:t>
      </w:r>
      <w:r>
        <w:rPr>
          <w:spacing w:val="9"/>
        </w:rPr>
        <w:t> </w:t>
      </w:r>
      <w:r>
        <w:rPr/>
        <w:t>comparaison</w:t>
      </w:r>
      <w:r>
        <w:rPr>
          <w:spacing w:val="7"/>
        </w:rPr>
        <w:t> </w:t>
      </w:r>
      <w:r>
        <w:rPr/>
        <w:t>des</w:t>
      </w:r>
      <w:r>
        <w:rPr>
          <w:spacing w:val="8"/>
        </w:rPr>
        <w:t> </w:t>
      </w:r>
      <w:r>
        <w:rPr>
          <w:spacing w:val="-2"/>
        </w:rPr>
        <w:t>signes</w:t>
      </w:r>
    </w:p>
    <w:p>
      <w:pPr>
        <w:pStyle w:val="BodyText"/>
        <w:rPr>
          <w:rFonts w:ascii="Cambria"/>
          <w:b/>
        </w:rPr>
      </w:pPr>
    </w:p>
    <w:p>
      <w:pPr>
        <w:pStyle w:val="BodyText"/>
        <w:ind w:left="3" w:right="159"/>
        <w:jc w:val="both"/>
      </w:pPr>
      <w:r>
        <w:rPr/>
        <w:t>La demande d’enregistrement porte sur le signe verbal L’APPARTEMENT SAUVAGE ci- dessous reproduit :</w:t>
      </w:r>
    </w:p>
    <w:p>
      <w:pPr>
        <w:pStyle w:val="BodyText"/>
        <w:ind w:left="2243"/>
        <w:rPr>
          <w:sz w:val="20"/>
        </w:rPr>
      </w:pPr>
      <w:r>
        <w:rPr>
          <w:sz w:val="20"/>
        </w:rPr>
        <w:drawing>
          <wp:inline distT="0" distB="0" distL="0" distR="0">
            <wp:extent cx="2909208" cy="336041"/>
            <wp:effectExtent l="0" t="0" r="0" b="0"/>
            <wp:docPr id="6" name="Image 6"/>
            <wp:cNvGraphicFramePr>
              <a:graphicFrameLocks/>
            </wp:cNvGraphicFramePr>
            <a:graphic>
              <a:graphicData uri="http://schemas.openxmlformats.org/drawingml/2006/picture">
                <pic:pic>
                  <pic:nvPicPr>
                    <pic:cNvPr id="6" name="Image 6"/>
                    <pic:cNvPicPr/>
                  </pic:nvPicPr>
                  <pic:blipFill>
                    <a:blip r:embed="rId15" cstate="print"/>
                    <a:stretch>
                      <a:fillRect/>
                    </a:stretch>
                  </pic:blipFill>
                  <pic:spPr>
                    <a:xfrm>
                      <a:off x="0" y="0"/>
                      <a:ext cx="2909208" cy="336041"/>
                    </a:xfrm>
                    <a:prstGeom prst="rect">
                      <a:avLst/>
                    </a:prstGeom>
                  </pic:spPr>
                </pic:pic>
              </a:graphicData>
            </a:graphic>
          </wp:inline>
        </w:drawing>
      </w:r>
      <w:r>
        <w:rPr>
          <w:sz w:val="20"/>
        </w:rPr>
      </w:r>
    </w:p>
    <w:p>
      <w:pPr>
        <w:pStyle w:val="BodyText"/>
      </w:pPr>
    </w:p>
    <w:p>
      <w:pPr>
        <w:pStyle w:val="BodyText"/>
        <w:ind w:left="3"/>
        <w:jc w:val="both"/>
      </w:pPr>
      <w:r>
        <w:rPr/>
        <w:t>La</w:t>
      </w:r>
      <w:r>
        <w:rPr>
          <w:spacing w:val="-8"/>
        </w:rPr>
        <w:t> </w:t>
      </w:r>
      <w:r>
        <w:rPr/>
        <w:t>marque</w:t>
      </w:r>
      <w:r>
        <w:rPr>
          <w:spacing w:val="-3"/>
        </w:rPr>
        <w:t> </w:t>
      </w:r>
      <w:r>
        <w:rPr/>
        <w:t>antérieure</w:t>
      </w:r>
      <w:r>
        <w:rPr>
          <w:spacing w:val="-1"/>
        </w:rPr>
        <w:t> </w:t>
      </w:r>
      <w:r>
        <w:rPr/>
        <w:t>porte</w:t>
      </w:r>
      <w:r>
        <w:rPr>
          <w:spacing w:val="-6"/>
        </w:rPr>
        <w:t> </w:t>
      </w:r>
      <w:r>
        <w:rPr/>
        <w:t>sur</w:t>
      </w:r>
      <w:r>
        <w:rPr>
          <w:spacing w:val="-4"/>
        </w:rPr>
        <w:t> </w:t>
      </w:r>
      <w:r>
        <w:rPr/>
        <w:t>le</w:t>
      </w:r>
      <w:r>
        <w:rPr>
          <w:spacing w:val="-3"/>
        </w:rPr>
        <w:t> </w:t>
      </w:r>
      <w:r>
        <w:rPr/>
        <w:t>signe</w:t>
      </w:r>
      <w:r>
        <w:rPr>
          <w:spacing w:val="-5"/>
        </w:rPr>
        <w:t> </w:t>
      </w:r>
      <w:r>
        <w:rPr/>
        <w:t>verbal</w:t>
      </w:r>
      <w:r>
        <w:rPr>
          <w:spacing w:val="-4"/>
        </w:rPr>
        <w:t> </w:t>
      </w:r>
      <w:r>
        <w:rPr/>
        <w:t>SAUVAGE</w:t>
      </w:r>
      <w:r>
        <w:rPr>
          <w:spacing w:val="-5"/>
        </w:rPr>
        <w:t> </w:t>
      </w:r>
      <w:r>
        <w:rPr/>
        <w:t>ci-dessous</w:t>
      </w:r>
      <w:r>
        <w:rPr>
          <w:spacing w:val="-4"/>
        </w:rPr>
        <w:t> </w:t>
      </w:r>
      <w:r>
        <w:rPr/>
        <w:t>reproduit</w:t>
      </w:r>
      <w:r>
        <w:rPr>
          <w:spacing w:val="-3"/>
        </w:rPr>
        <w:t> </w:t>
      </w:r>
      <w:r>
        <w:rPr>
          <w:spacing w:val="-10"/>
        </w:rPr>
        <w:t>:</w:t>
      </w:r>
    </w:p>
    <w:p>
      <w:pPr>
        <w:pStyle w:val="BodyText"/>
        <w:spacing w:before="52"/>
        <w:rPr>
          <w:sz w:val="20"/>
        </w:rPr>
      </w:pPr>
      <w:r>
        <w:rPr>
          <w:sz w:val="20"/>
        </w:rPr>
        <w:drawing>
          <wp:anchor distT="0" distB="0" distL="0" distR="0" allowOverlap="1" layoutInCell="1" locked="0" behindDoc="1" simplePos="0" relativeHeight="487589376">
            <wp:simplePos x="0" y="0"/>
            <wp:positionH relativeFrom="page">
              <wp:posOffset>3133254</wp:posOffset>
            </wp:positionH>
            <wp:positionV relativeFrom="paragraph">
              <wp:posOffset>194336</wp:posOffset>
            </wp:positionV>
            <wp:extent cx="1330499" cy="25146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6" cstate="print"/>
                    <a:stretch>
                      <a:fillRect/>
                    </a:stretch>
                  </pic:blipFill>
                  <pic:spPr>
                    <a:xfrm>
                      <a:off x="0" y="0"/>
                      <a:ext cx="1330499" cy="251460"/>
                    </a:xfrm>
                    <a:prstGeom prst="rect">
                      <a:avLst/>
                    </a:prstGeom>
                  </pic:spPr>
                </pic:pic>
              </a:graphicData>
            </a:graphic>
          </wp:anchor>
        </w:drawing>
      </w:r>
    </w:p>
    <w:p>
      <w:pPr>
        <w:pStyle w:val="BodyText"/>
        <w:spacing w:before="36"/>
      </w:pPr>
    </w:p>
    <w:p>
      <w:pPr>
        <w:pStyle w:val="BodyText"/>
        <w:ind w:left="3"/>
        <w:jc w:val="both"/>
      </w:pPr>
      <w:r>
        <w:rPr/>
        <w:t>La</w:t>
      </w:r>
      <w:r>
        <w:rPr>
          <w:spacing w:val="-7"/>
        </w:rPr>
        <w:t> </w:t>
      </w:r>
      <w:r>
        <w:rPr/>
        <w:t>société</w:t>
      </w:r>
      <w:r>
        <w:rPr>
          <w:spacing w:val="-2"/>
        </w:rPr>
        <w:t> </w:t>
      </w:r>
      <w:r>
        <w:rPr/>
        <w:t>opposante</w:t>
      </w:r>
      <w:r>
        <w:rPr>
          <w:spacing w:val="-2"/>
        </w:rPr>
        <w:t> </w:t>
      </w:r>
      <w:r>
        <w:rPr/>
        <w:t>soutient</w:t>
      </w:r>
      <w:r>
        <w:rPr>
          <w:spacing w:val="-3"/>
        </w:rPr>
        <w:t> </w:t>
      </w:r>
      <w:r>
        <w:rPr/>
        <w:t>que</w:t>
      </w:r>
      <w:r>
        <w:rPr>
          <w:spacing w:val="-4"/>
        </w:rPr>
        <w:t> </w:t>
      </w:r>
      <w:r>
        <w:rPr/>
        <w:t>les</w:t>
      </w:r>
      <w:r>
        <w:rPr>
          <w:spacing w:val="-3"/>
        </w:rPr>
        <w:t> </w:t>
      </w:r>
      <w:r>
        <w:rPr/>
        <w:t>signes</w:t>
      </w:r>
      <w:r>
        <w:rPr>
          <w:spacing w:val="-4"/>
        </w:rPr>
        <w:t> </w:t>
      </w:r>
      <w:r>
        <w:rPr/>
        <w:t>en</w:t>
      </w:r>
      <w:r>
        <w:rPr>
          <w:spacing w:val="-2"/>
        </w:rPr>
        <w:t> </w:t>
      </w:r>
      <w:r>
        <w:rPr/>
        <w:t>cause</w:t>
      </w:r>
      <w:r>
        <w:rPr>
          <w:spacing w:val="-4"/>
        </w:rPr>
        <w:t> </w:t>
      </w:r>
      <w:r>
        <w:rPr/>
        <w:t>sont</w:t>
      </w:r>
      <w:r>
        <w:rPr>
          <w:spacing w:val="-4"/>
        </w:rPr>
        <w:t> </w:t>
      </w:r>
      <w:r>
        <w:rPr>
          <w:spacing w:val="-2"/>
        </w:rPr>
        <w:t>similaires.</w:t>
      </w:r>
    </w:p>
    <w:p>
      <w:pPr>
        <w:pStyle w:val="BodyText"/>
      </w:pPr>
    </w:p>
    <w:p>
      <w:pPr>
        <w:pStyle w:val="BodyText"/>
        <w:ind w:left="3" w:right="154"/>
        <w:jc w:val="both"/>
      </w:pPr>
      <w:r>
        <w:rPr/>
        <w:t>L'appréciation globale doit, en</w:t>
      </w:r>
      <w:r>
        <w:rPr>
          <w:spacing w:val="-1"/>
        </w:rPr>
        <w:t> </w:t>
      </w:r>
      <w:r>
        <w:rPr/>
        <w:t>ce</w:t>
      </w:r>
      <w:r>
        <w:rPr>
          <w:spacing w:val="-2"/>
        </w:rPr>
        <w:t> </w:t>
      </w:r>
      <w:r>
        <w:rPr/>
        <w:t>qui concerne la</w:t>
      </w:r>
      <w:r>
        <w:rPr>
          <w:spacing w:val="-2"/>
        </w:rPr>
        <w:t> </w:t>
      </w:r>
      <w:r>
        <w:rPr/>
        <w:t>similitude visuelle, auditive ou</w:t>
      </w:r>
      <w:r>
        <w:rPr>
          <w:spacing w:val="-1"/>
        </w:rPr>
        <w:t> </w:t>
      </w:r>
      <w:r>
        <w:rPr/>
        <w:t>conceptuelle des marques en cause, être fondée sur l'impression d'ensemble produite par les marques, en tenant compte notamment de leurs éléments distinctifs et dominants.</w:t>
      </w:r>
    </w:p>
    <w:p>
      <w:pPr>
        <w:pStyle w:val="BodyText"/>
      </w:pPr>
    </w:p>
    <w:p>
      <w:pPr>
        <w:pStyle w:val="BodyText"/>
        <w:spacing w:before="1"/>
        <w:ind w:left="3" w:right="149"/>
        <w:jc w:val="both"/>
      </w:pPr>
      <w:r>
        <w:rP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pPr>
        <w:pStyle w:val="BodyText"/>
        <w:spacing w:before="276"/>
        <w:ind w:left="3" w:right="158"/>
        <w:jc w:val="both"/>
      </w:pPr>
      <w:r>
        <w:rPr/>
        <w:t>Il</w:t>
      </w:r>
      <w:r>
        <w:rPr>
          <w:spacing w:val="-2"/>
        </w:rPr>
        <w:t> </w:t>
      </w:r>
      <w:r>
        <w:rPr/>
        <w:t>résulte d’une</w:t>
      </w:r>
      <w:r>
        <w:rPr>
          <w:spacing w:val="-2"/>
        </w:rPr>
        <w:t> </w:t>
      </w:r>
      <w:r>
        <w:rPr/>
        <w:t>comparaison globale et objective des signes que</w:t>
      </w:r>
      <w:r>
        <w:rPr>
          <w:spacing w:val="-2"/>
        </w:rPr>
        <w:t> </w:t>
      </w:r>
      <w:r>
        <w:rPr/>
        <w:t>le</w:t>
      </w:r>
      <w:r>
        <w:rPr>
          <w:spacing w:val="-2"/>
        </w:rPr>
        <w:t> </w:t>
      </w:r>
      <w:r>
        <w:rPr/>
        <w:t>signe contesté est</w:t>
      </w:r>
      <w:r>
        <w:rPr>
          <w:spacing w:val="-2"/>
        </w:rPr>
        <w:t> </w:t>
      </w:r>
      <w:r>
        <w:rPr/>
        <w:t>composé de trois éléments verbaux et d’une apostrophe et la marque antérieure d’une seule </w:t>
      </w:r>
      <w:r>
        <w:rPr>
          <w:spacing w:val="-2"/>
        </w:rPr>
        <w:t>dénomination.</w:t>
      </w:r>
    </w:p>
    <w:p>
      <w:pPr>
        <w:pStyle w:val="BodyText"/>
        <w:spacing w:before="276"/>
        <w:ind w:left="3" w:right="159"/>
        <w:jc w:val="both"/>
      </w:pPr>
      <w:r>
        <w:rPr/>
        <w:t>Les signes ont en commun le terme SAUVAGE, ce qui leur confère d’importantes ressemblances visuelles et phonétiques.</w:t>
      </w:r>
    </w:p>
    <w:p>
      <w:pPr>
        <w:pStyle w:val="BodyText"/>
      </w:pPr>
    </w:p>
    <w:p>
      <w:pPr>
        <w:pStyle w:val="BodyText"/>
        <w:ind w:left="3" w:right="151"/>
        <w:jc w:val="both"/>
      </w:pPr>
      <w:r>
        <w:rPr/>
        <w:t>Les signes diffèrent par la présence de l’ensemble verbal L’APPARTEMENT au sein du</w:t>
      </w:r>
      <w:r>
        <w:rPr>
          <w:spacing w:val="40"/>
        </w:rPr>
        <w:t> </w:t>
      </w:r>
      <w:r>
        <w:rPr/>
        <w:t>signe contesté.</w:t>
      </w:r>
    </w:p>
    <w:p>
      <w:pPr>
        <w:pStyle w:val="BodyText"/>
      </w:pPr>
    </w:p>
    <w:p>
      <w:pPr>
        <w:pStyle w:val="BodyText"/>
        <w:ind w:left="3" w:right="161"/>
        <w:jc w:val="both"/>
      </w:pPr>
      <w:r>
        <w:rPr/>
        <w:t>Toutefois, la prise en compte des éléments distinctifs et dominants des signes conduit à tempérer ces différences.</w:t>
      </w:r>
    </w:p>
    <w:p>
      <w:pPr>
        <w:pStyle w:val="BodyText"/>
        <w:spacing w:after="0"/>
        <w:jc w:val="both"/>
        <w:sectPr>
          <w:pgSz w:w="11910" w:h="16840"/>
          <w:pgMar w:header="0" w:footer="347" w:top="1900" w:bottom="540" w:left="1417" w:right="1275"/>
        </w:sectPr>
      </w:pPr>
    </w:p>
    <w:p>
      <w:pPr>
        <w:pStyle w:val="BodyText"/>
        <w:spacing w:before="68"/>
        <w:ind w:left="3" w:right="154"/>
        <w:jc w:val="both"/>
      </w:pPr>
      <w:r>
        <w:rPr/>
        <w:t>En effet, le terme SAUVAGE commun aux deux signes, apparaît parfaitement distinctif au regard des produits et services en cause, dès lors qu'il ne présente pas de lien direct et concret avec les produits et services en cause, ni n’en désigne une caractéristique précise.</w:t>
      </w:r>
    </w:p>
    <w:p>
      <w:pPr>
        <w:pStyle w:val="BodyText"/>
      </w:pPr>
    </w:p>
    <w:p>
      <w:pPr>
        <w:pStyle w:val="BodyText"/>
        <w:ind w:left="3" w:right="151"/>
        <w:jc w:val="both"/>
      </w:pPr>
      <w:r>
        <w:rPr/>
        <w:t>En outre, au sein du signe contesté, ce terme SAUVAGE distinctif apparaît également dominant dès lors que</w:t>
      </w:r>
      <w:r>
        <w:rPr>
          <w:spacing w:val="-1"/>
        </w:rPr>
        <w:t> </w:t>
      </w:r>
      <w:r>
        <w:rPr/>
        <w:t>l’ensemble verbal</w:t>
      </w:r>
      <w:r>
        <w:rPr>
          <w:spacing w:val="-1"/>
        </w:rPr>
        <w:t> </w:t>
      </w:r>
      <w:r>
        <w:rPr/>
        <w:t>L’APPARTEMENT</w:t>
      </w:r>
      <w:r>
        <w:rPr>
          <w:spacing w:val="-1"/>
        </w:rPr>
        <w:t> </w:t>
      </w:r>
      <w:r>
        <w:rPr/>
        <w:t>dépourvu de caractère distinctif au regard des services en cause</w:t>
      </w:r>
      <w:r>
        <w:rPr>
          <w:spacing w:val="-1"/>
        </w:rPr>
        <w:t> </w:t>
      </w:r>
      <w:r>
        <w:rPr/>
        <w:t>dont</w:t>
      </w:r>
      <w:r>
        <w:rPr>
          <w:spacing w:val="-2"/>
        </w:rPr>
        <w:t> </w:t>
      </w:r>
      <w:r>
        <w:rPr/>
        <w:t>il indique</w:t>
      </w:r>
      <w:r>
        <w:rPr>
          <w:spacing w:val="-1"/>
        </w:rPr>
        <w:t> </w:t>
      </w:r>
      <w:r>
        <w:rPr/>
        <w:t>le</w:t>
      </w:r>
      <w:r>
        <w:rPr>
          <w:spacing w:val="-1"/>
        </w:rPr>
        <w:t> </w:t>
      </w:r>
      <w:r>
        <w:rPr/>
        <w:t>lieu de</w:t>
      </w:r>
      <w:r>
        <w:rPr>
          <w:spacing w:val="-1"/>
        </w:rPr>
        <w:t> </w:t>
      </w:r>
      <w:r>
        <w:rPr/>
        <w:t>prestation ne</w:t>
      </w:r>
      <w:r>
        <w:rPr>
          <w:spacing w:val="-1"/>
        </w:rPr>
        <w:t> </w:t>
      </w:r>
      <w:r>
        <w:rPr/>
        <w:t>retiendra pas l’attention du consommateur à titre de marque.</w:t>
      </w:r>
    </w:p>
    <w:p>
      <w:pPr>
        <w:pStyle w:val="BodyText"/>
      </w:pPr>
    </w:p>
    <w:p>
      <w:pPr>
        <w:pStyle w:val="BodyText"/>
        <w:ind w:left="3" w:right="152"/>
        <w:jc w:val="both"/>
      </w:pPr>
      <w:r>
        <w:rPr/>
        <w:t>Ainsi, l’attention du consommateur des services en cause se portera sur le terme SAUVAGE, commun aux deux signes.</w:t>
      </w:r>
    </w:p>
    <w:p>
      <w:pPr>
        <w:pStyle w:val="BodyText"/>
      </w:pPr>
    </w:p>
    <w:p>
      <w:pPr>
        <w:pStyle w:val="BodyText"/>
        <w:ind w:left="3"/>
        <w:jc w:val="both"/>
      </w:pPr>
      <w:r>
        <w:rPr/>
        <w:t>Il</w:t>
      </w:r>
      <w:r>
        <w:rPr>
          <w:spacing w:val="-7"/>
        </w:rPr>
        <w:t> </w:t>
      </w:r>
      <w:r>
        <w:rPr/>
        <w:t>en</w:t>
      </w:r>
      <w:r>
        <w:rPr>
          <w:spacing w:val="-3"/>
        </w:rPr>
        <w:t> </w:t>
      </w:r>
      <w:r>
        <w:rPr/>
        <w:t>résulte</w:t>
      </w:r>
      <w:r>
        <w:rPr>
          <w:spacing w:val="-3"/>
        </w:rPr>
        <w:t> </w:t>
      </w:r>
      <w:r>
        <w:rPr/>
        <w:t>que</w:t>
      </w:r>
      <w:r>
        <w:rPr>
          <w:spacing w:val="-4"/>
        </w:rPr>
        <w:t> </w:t>
      </w:r>
      <w:r>
        <w:rPr/>
        <w:t>les</w:t>
      </w:r>
      <w:r>
        <w:rPr>
          <w:spacing w:val="-2"/>
        </w:rPr>
        <w:t> </w:t>
      </w:r>
      <w:r>
        <w:rPr/>
        <w:t>signes</w:t>
      </w:r>
      <w:r>
        <w:rPr>
          <w:spacing w:val="-3"/>
        </w:rPr>
        <w:t> </w:t>
      </w:r>
      <w:r>
        <w:rPr/>
        <w:t>en</w:t>
      </w:r>
      <w:r>
        <w:rPr>
          <w:spacing w:val="-3"/>
        </w:rPr>
        <w:t> </w:t>
      </w:r>
      <w:r>
        <w:rPr/>
        <w:t>présence</w:t>
      </w:r>
      <w:r>
        <w:rPr>
          <w:spacing w:val="-3"/>
        </w:rPr>
        <w:t> </w:t>
      </w:r>
      <w:r>
        <w:rPr/>
        <w:t>produisent</w:t>
      </w:r>
      <w:r>
        <w:rPr>
          <w:spacing w:val="-4"/>
        </w:rPr>
        <w:t> </w:t>
      </w:r>
      <w:r>
        <w:rPr/>
        <w:t>une</w:t>
      </w:r>
      <w:r>
        <w:rPr>
          <w:spacing w:val="-5"/>
        </w:rPr>
        <w:t> </w:t>
      </w:r>
      <w:r>
        <w:rPr/>
        <w:t>même impression</w:t>
      </w:r>
      <w:r>
        <w:rPr>
          <w:spacing w:val="-3"/>
        </w:rPr>
        <w:t> </w:t>
      </w:r>
      <w:r>
        <w:rPr>
          <w:spacing w:val="-2"/>
        </w:rPr>
        <w:t>d’ensemble.</w:t>
      </w:r>
    </w:p>
    <w:p>
      <w:pPr>
        <w:pStyle w:val="BodyText"/>
      </w:pPr>
    </w:p>
    <w:p>
      <w:pPr>
        <w:pStyle w:val="BodyText"/>
        <w:ind w:left="3" w:right="152"/>
        <w:jc w:val="both"/>
      </w:pPr>
      <w:r>
        <w:rPr/>
        <w:t>Le signe verbal contesté L’APPARTEMENT SAUVAGE est donc similaire à la marque antérieure SAUVAGE.</w:t>
      </w:r>
    </w:p>
    <w:p>
      <w:pPr>
        <w:pStyle w:val="BodyText"/>
      </w:pPr>
    </w:p>
    <w:p>
      <w:pPr>
        <w:pStyle w:val="BodyText"/>
      </w:pPr>
    </w:p>
    <w:p>
      <w:pPr>
        <w:pStyle w:val="Heading2"/>
        <w:tabs>
          <w:tab w:pos="722" w:val="left" w:leader="none"/>
        </w:tabs>
        <w:ind w:left="363" w:firstLine="0"/>
      </w:pPr>
      <w:r>
        <w:rPr>
          <w:rFonts w:ascii="Arial Black" w:hAnsi="Arial Black"/>
          <w:b w:val="0"/>
          <w:spacing w:val="-10"/>
        </w:rPr>
        <w:t>-</w:t>
      </w:r>
      <w:r>
        <w:rPr>
          <w:rFonts w:ascii="Arial Black" w:hAnsi="Arial Black"/>
          <w:b w:val="0"/>
        </w:rPr>
        <w:tab/>
      </w:r>
      <w:r>
        <w:rPr/>
        <w:t>Sur</w:t>
      </w:r>
      <w:r>
        <w:rPr>
          <w:spacing w:val="2"/>
        </w:rPr>
        <w:t> </w:t>
      </w:r>
      <w:r>
        <w:rPr/>
        <w:t>le</w:t>
      </w:r>
      <w:r>
        <w:rPr>
          <w:spacing w:val="2"/>
        </w:rPr>
        <w:t> </w:t>
      </w:r>
      <w:r>
        <w:rPr/>
        <w:t>lien</w:t>
      </w:r>
      <w:r>
        <w:rPr>
          <w:spacing w:val="3"/>
        </w:rPr>
        <w:t> </w:t>
      </w:r>
      <w:r>
        <w:rPr/>
        <w:t>entre</w:t>
      </w:r>
      <w:r>
        <w:rPr>
          <w:spacing w:val="2"/>
        </w:rPr>
        <w:t> </w:t>
      </w:r>
      <w:r>
        <w:rPr/>
        <w:t>les</w:t>
      </w:r>
      <w:r>
        <w:rPr>
          <w:spacing w:val="4"/>
        </w:rPr>
        <w:t> </w:t>
      </w:r>
      <w:r>
        <w:rPr/>
        <w:t>signes</w:t>
      </w:r>
      <w:r>
        <w:rPr>
          <w:spacing w:val="3"/>
        </w:rPr>
        <w:t> </w:t>
      </w:r>
      <w:r>
        <w:rPr/>
        <w:t>dans</w:t>
      </w:r>
      <w:r>
        <w:rPr>
          <w:spacing w:val="2"/>
        </w:rPr>
        <w:t> </w:t>
      </w:r>
      <w:r>
        <w:rPr/>
        <w:t>l’esprit</w:t>
      </w:r>
      <w:r>
        <w:rPr>
          <w:spacing w:val="1"/>
        </w:rPr>
        <w:t> </w:t>
      </w:r>
      <w:r>
        <w:rPr/>
        <w:t>du</w:t>
      </w:r>
      <w:r>
        <w:rPr>
          <w:spacing w:val="3"/>
        </w:rPr>
        <w:t> </w:t>
      </w:r>
      <w:r>
        <w:rPr>
          <w:spacing w:val="-2"/>
        </w:rPr>
        <w:t>public</w:t>
      </w:r>
    </w:p>
    <w:p>
      <w:pPr>
        <w:pStyle w:val="BodyText"/>
        <w:rPr>
          <w:rFonts w:ascii="Cambria"/>
          <w:b/>
        </w:rPr>
      </w:pPr>
    </w:p>
    <w:p>
      <w:pPr>
        <w:pStyle w:val="BodyText"/>
        <w:ind w:left="3" w:right="150"/>
        <w:jc w:val="both"/>
      </w:pPr>
      <w:r>
        <w:rPr/>
        <w:t>A titre liminaire, il convient de rappeler que les atteintes à la renommée d’une marque sont la conséquence d’un certain degré de similitude entre la marque antérieure renommée et la marque demandée, en raison duquel le public pertinent effectue un rapprochement entre ces marques, c’est-à-dire établit un lien entre celles-ci, alors même qu’il ne les confond pas. Il n’est donc pas exigé que le degré de similitude entre la marque antérieure renommée et la marque demandée soit tel qu’il existe, dans l’esprit du public pertinent, un risque de confusion. Il suffit que le degré de similitude entre la marque renommée et la marque demandée</w:t>
      </w:r>
      <w:r>
        <w:rPr>
          <w:spacing w:val="-1"/>
        </w:rPr>
        <w:t> </w:t>
      </w:r>
      <w:r>
        <w:rPr/>
        <w:t>ait</w:t>
      </w:r>
      <w:r>
        <w:rPr>
          <w:spacing w:val="-2"/>
        </w:rPr>
        <w:t> </w:t>
      </w:r>
      <w:r>
        <w:rPr/>
        <w:t>pour</w:t>
      </w:r>
      <w:r>
        <w:rPr>
          <w:spacing w:val="-2"/>
        </w:rPr>
        <w:t> </w:t>
      </w:r>
      <w:r>
        <w:rPr/>
        <w:t>effet</w:t>
      </w:r>
      <w:r>
        <w:rPr>
          <w:spacing w:val="-2"/>
        </w:rPr>
        <w:t> </w:t>
      </w:r>
      <w:r>
        <w:rPr/>
        <w:t>que</w:t>
      </w:r>
      <w:r>
        <w:rPr>
          <w:spacing w:val="-2"/>
        </w:rPr>
        <w:t> </w:t>
      </w:r>
      <w:r>
        <w:rPr/>
        <w:t>le</w:t>
      </w:r>
      <w:r>
        <w:rPr>
          <w:spacing w:val="-2"/>
        </w:rPr>
        <w:t> </w:t>
      </w:r>
      <w:r>
        <w:rPr/>
        <w:t>public</w:t>
      </w:r>
      <w:r>
        <w:rPr>
          <w:spacing w:val="-2"/>
        </w:rPr>
        <w:t> </w:t>
      </w:r>
      <w:r>
        <w:rPr/>
        <w:t>pertinent établisse</w:t>
      </w:r>
      <w:r>
        <w:rPr>
          <w:spacing w:val="-1"/>
        </w:rPr>
        <w:t> </w:t>
      </w:r>
      <w:r>
        <w:rPr/>
        <w:t>un</w:t>
      </w:r>
      <w:r>
        <w:rPr>
          <w:spacing w:val="-3"/>
        </w:rPr>
        <w:t> </w:t>
      </w:r>
      <w:r>
        <w:rPr/>
        <w:t>lien entre</w:t>
      </w:r>
      <w:r>
        <w:rPr>
          <w:spacing w:val="-2"/>
        </w:rPr>
        <w:t> </w:t>
      </w:r>
      <w:r>
        <w:rPr/>
        <w:t>ces</w:t>
      </w:r>
      <w:r>
        <w:rPr>
          <w:spacing w:val="-1"/>
        </w:rPr>
        <w:t> </w:t>
      </w:r>
      <w:r>
        <w:rPr/>
        <w:t>marques</w:t>
      </w:r>
      <w:r>
        <w:rPr>
          <w:spacing w:val="-1"/>
        </w:rPr>
        <w:t> </w:t>
      </w:r>
      <w:r>
        <w:rPr/>
        <w:t>(arrêt</w:t>
      </w:r>
      <w:r>
        <w:rPr>
          <w:spacing w:val="-2"/>
        </w:rPr>
        <w:t> </w:t>
      </w:r>
      <w:r>
        <w:rPr/>
        <w:t>du</w:t>
      </w:r>
      <w:r>
        <w:rPr>
          <w:spacing w:val="-3"/>
        </w:rPr>
        <w:t> </w:t>
      </w:r>
      <w:r>
        <w:rPr/>
        <w:t>22 mars 2007, VIPS, T-215/03, EU:T:2007:93, point 41 ; voir également, par analogie, arrêts du 23 octobre 2003, Adidas-Salomon et Adidas Benelux, C-408/01, EU:C:2003:582, point 29, et du 18 juin 2009, L’Oréal e.a., C-487/07, EU:C:2009:378, point 36).</w:t>
      </w:r>
    </w:p>
    <w:p>
      <w:pPr>
        <w:pStyle w:val="BodyText"/>
        <w:spacing w:before="1"/>
      </w:pPr>
    </w:p>
    <w:p>
      <w:pPr>
        <w:pStyle w:val="BodyText"/>
        <w:ind w:left="3" w:right="152"/>
        <w:jc w:val="both"/>
      </w:pPr>
      <w:r>
        <w:rPr/>
        <w:t>Les critères pertinents pour vérifier l’existence de ce lien sont notamment le degré de similitude entre les signes, la nature des produits et des services en cause ( y compris leur degré de similitude ou de dissemblance) ainsi que le public concerné, l’intensité de la renommée de la marque antérieure, (afin de déterminer si celle-ci s’étend au-delà du public visé par cette marque), le degré de caractère distinctif intrinsèque ou acquis par l’usage de la marque antérieure et l’existence d’un risque de confusion s’il en existe un.</w:t>
      </w:r>
    </w:p>
    <w:p>
      <w:pPr>
        <w:pStyle w:val="BodyText"/>
        <w:spacing w:before="20"/>
      </w:pPr>
    </w:p>
    <w:p>
      <w:pPr>
        <w:pStyle w:val="Heading2"/>
        <w:numPr>
          <w:ilvl w:val="0"/>
          <w:numId w:val="2"/>
        </w:numPr>
        <w:tabs>
          <w:tab w:pos="722" w:val="left" w:leader="none"/>
        </w:tabs>
        <w:spacing w:line="240" w:lineRule="auto" w:before="0" w:after="0"/>
        <w:ind w:left="722" w:right="0" w:hanging="359"/>
        <w:jc w:val="left"/>
      </w:pPr>
      <w:r>
        <w:rPr/>
        <w:t>Sur</w:t>
      </w:r>
      <w:r>
        <w:rPr>
          <w:spacing w:val="2"/>
        </w:rPr>
        <w:t> </w:t>
      </w:r>
      <w:r>
        <w:rPr/>
        <w:t>le</w:t>
      </w:r>
      <w:r>
        <w:rPr>
          <w:spacing w:val="2"/>
        </w:rPr>
        <w:t> </w:t>
      </w:r>
      <w:r>
        <w:rPr/>
        <w:t>degré</w:t>
      </w:r>
      <w:r>
        <w:rPr>
          <w:spacing w:val="4"/>
        </w:rPr>
        <w:t> </w:t>
      </w:r>
      <w:r>
        <w:rPr/>
        <w:t>de</w:t>
      </w:r>
      <w:r>
        <w:rPr>
          <w:spacing w:val="2"/>
        </w:rPr>
        <w:t> </w:t>
      </w:r>
      <w:r>
        <w:rPr/>
        <w:t>similitude</w:t>
      </w:r>
      <w:r>
        <w:rPr>
          <w:spacing w:val="3"/>
        </w:rPr>
        <w:t> </w:t>
      </w:r>
      <w:r>
        <w:rPr/>
        <w:t>entre</w:t>
      </w:r>
      <w:r>
        <w:rPr>
          <w:spacing w:val="2"/>
        </w:rPr>
        <w:t> </w:t>
      </w:r>
      <w:r>
        <w:rPr/>
        <w:t>les</w:t>
      </w:r>
      <w:r>
        <w:rPr>
          <w:spacing w:val="3"/>
        </w:rPr>
        <w:t> </w:t>
      </w:r>
      <w:r>
        <w:rPr>
          <w:spacing w:val="-2"/>
        </w:rPr>
        <w:t>signes</w:t>
      </w:r>
    </w:p>
    <w:p>
      <w:pPr>
        <w:pStyle w:val="BodyText"/>
        <w:spacing w:before="21"/>
        <w:rPr>
          <w:rFonts w:ascii="Cambria"/>
          <w:b/>
        </w:rPr>
      </w:pPr>
    </w:p>
    <w:p>
      <w:pPr>
        <w:pStyle w:val="BodyText"/>
        <w:ind w:left="3"/>
        <w:jc w:val="both"/>
      </w:pPr>
      <w:r>
        <w:rPr/>
        <w:t>Comme</w:t>
      </w:r>
      <w:r>
        <w:rPr>
          <w:spacing w:val="-3"/>
        </w:rPr>
        <w:t> </w:t>
      </w:r>
      <w:r>
        <w:rPr/>
        <w:t>il</w:t>
      </w:r>
      <w:r>
        <w:rPr>
          <w:spacing w:val="-4"/>
        </w:rPr>
        <w:t> </w:t>
      </w:r>
      <w:r>
        <w:rPr/>
        <w:t>a</w:t>
      </w:r>
      <w:r>
        <w:rPr>
          <w:spacing w:val="-3"/>
        </w:rPr>
        <w:t> </w:t>
      </w:r>
      <w:r>
        <w:rPr/>
        <w:t>été</w:t>
      </w:r>
      <w:r>
        <w:rPr>
          <w:spacing w:val="-4"/>
        </w:rPr>
        <w:t> </w:t>
      </w:r>
      <w:r>
        <w:rPr/>
        <w:t>précédemment relevé,</w:t>
      </w:r>
      <w:r>
        <w:rPr>
          <w:spacing w:val="-3"/>
        </w:rPr>
        <w:t> </w:t>
      </w:r>
      <w:r>
        <w:rPr/>
        <w:t>les</w:t>
      </w:r>
      <w:r>
        <w:rPr>
          <w:spacing w:val="-3"/>
        </w:rPr>
        <w:t> </w:t>
      </w:r>
      <w:r>
        <w:rPr/>
        <w:t>signes</w:t>
      </w:r>
      <w:r>
        <w:rPr>
          <w:spacing w:val="-3"/>
        </w:rPr>
        <w:t> </w:t>
      </w:r>
      <w:r>
        <w:rPr/>
        <w:t>en</w:t>
      </w:r>
      <w:r>
        <w:rPr>
          <w:spacing w:val="-4"/>
        </w:rPr>
        <w:t> </w:t>
      </w:r>
      <w:r>
        <w:rPr/>
        <w:t>présence</w:t>
      </w:r>
      <w:r>
        <w:rPr>
          <w:spacing w:val="-2"/>
        </w:rPr>
        <w:t> </w:t>
      </w:r>
      <w:r>
        <w:rPr/>
        <w:t>sont</w:t>
      </w:r>
      <w:r>
        <w:rPr>
          <w:spacing w:val="-4"/>
        </w:rPr>
        <w:t> </w:t>
      </w:r>
      <w:r>
        <w:rPr>
          <w:spacing w:val="-2"/>
        </w:rPr>
        <w:t>similaires.</w:t>
      </w:r>
    </w:p>
    <w:p>
      <w:pPr>
        <w:pStyle w:val="BodyText"/>
        <w:spacing w:before="22"/>
      </w:pPr>
    </w:p>
    <w:p>
      <w:pPr>
        <w:pStyle w:val="Heading2"/>
        <w:numPr>
          <w:ilvl w:val="0"/>
          <w:numId w:val="2"/>
        </w:numPr>
        <w:tabs>
          <w:tab w:pos="722" w:val="left" w:leader="none"/>
        </w:tabs>
        <w:spacing w:line="240" w:lineRule="auto" w:before="0" w:after="0"/>
        <w:ind w:left="722" w:right="0" w:hanging="359"/>
        <w:jc w:val="left"/>
      </w:pPr>
      <w:r>
        <w:rPr/>
        <w:t>Sur</w:t>
      </w:r>
      <w:r>
        <w:rPr>
          <w:spacing w:val="6"/>
        </w:rPr>
        <w:t> </w:t>
      </w:r>
      <w:r>
        <w:rPr/>
        <w:t>le</w:t>
      </w:r>
      <w:r>
        <w:rPr>
          <w:spacing w:val="6"/>
        </w:rPr>
        <w:t> </w:t>
      </w:r>
      <w:r>
        <w:rPr/>
        <w:t>degré</w:t>
      </w:r>
      <w:r>
        <w:rPr>
          <w:spacing w:val="8"/>
        </w:rPr>
        <w:t> </w:t>
      </w:r>
      <w:r>
        <w:rPr/>
        <w:t>de</w:t>
      </w:r>
      <w:r>
        <w:rPr>
          <w:spacing w:val="6"/>
        </w:rPr>
        <w:t> </w:t>
      </w:r>
      <w:r>
        <w:rPr/>
        <w:t>caractère</w:t>
      </w:r>
      <w:r>
        <w:rPr>
          <w:spacing w:val="7"/>
        </w:rPr>
        <w:t> </w:t>
      </w:r>
      <w:r>
        <w:rPr/>
        <w:t>distinctif</w:t>
      </w:r>
      <w:r>
        <w:rPr>
          <w:spacing w:val="7"/>
        </w:rPr>
        <w:t> </w:t>
      </w:r>
      <w:r>
        <w:rPr/>
        <w:t>de</w:t>
      </w:r>
      <w:r>
        <w:rPr>
          <w:spacing w:val="6"/>
        </w:rPr>
        <w:t> </w:t>
      </w:r>
      <w:r>
        <w:rPr/>
        <w:t>la</w:t>
      </w:r>
      <w:r>
        <w:rPr>
          <w:spacing w:val="7"/>
        </w:rPr>
        <w:t> </w:t>
      </w:r>
      <w:r>
        <w:rPr/>
        <w:t>marque</w:t>
      </w:r>
      <w:r>
        <w:rPr>
          <w:spacing w:val="6"/>
        </w:rPr>
        <w:t> </w:t>
      </w:r>
      <w:r>
        <w:rPr>
          <w:spacing w:val="-2"/>
        </w:rPr>
        <w:t>antérieure</w:t>
      </w:r>
    </w:p>
    <w:p>
      <w:pPr>
        <w:pStyle w:val="BodyText"/>
        <w:spacing w:before="21"/>
        <w:rPr>
          <w:rFonts w:ascii="Cambria"/>
          <w:b/>
        </w:rPr>
      </w:pPr>
    </w:p>
    <w:p>
      <w:pPr>
        <w:pStyle w:val="BodyText"/>
        <w:ind w:left="3" w:right="156"/>
        <w:jc w:val="both"/>
      </w:pPr>
      <w:r>
        <w:rPr/>
        <w:t>La marque SAUVAGE, en ce qu’elle ne présente pas de lien direct et concret avec les</w:t>
      </w:r>
      <w:r>
        <w:rPr>
          <w:spacing w:val="40"/>
        </w:rPr>
        <w:t> </w:t>
      </w:r>
      <w:r>
        <w:rPr/>
        <w:t>produits pour</w:t>
      </w:r>
      <w:r>
        <w:rPr>
          <w:spacing w:val="-3"/>
        </w:rPr>
        <w:t> </w:t>
      </w:r>
      <w:r>
        <w:rPr/>
        <w:t>lesquels elle est</w:t>
      </w:r>
      <w:r>
        <w:rPr>
          <w:spacing w:val="-2"/>
        </w:rPr>
        <w:t> </w:t>
      </w:r>
      <w:r>
        <w:rPr/>
        <w:t>renommée,</w:t>
      </w:r>
      <w:r>
        <w:rPr>
          <w:spacing w:val="-1"/>
        </w:rPr>
        <w:t> </w:t>
      </w:r>
      <w:r>
        <w:rPr/>
        <w:t>ni</w:t>
      </w:r>
      <w:r>
        <w:rPr>
          <w:spacing w:val="-2"/>
        </w:rPr>
        <w:t> </w:t>
      </w:r>
      <w:r>
        <w:rPr/>
        <w:t>n’en</w:t>
      </w:r>
      <w:r>
        <w:rPr>
          <w:spacing w:val="-1"/>
        </w:rPr>
        <w:t> </w:t>
      </w:r>
      <w:r>
        <w:rPr/>
        <w:t>désigne</w:t>
      </w:r>
      <w:r>
        <w:rPr>
          <w:spacing w:val="-2"/>
        </w:rPr>
        <w:t> </w:t>
      </w:r>
      <w:r>
        <w:rPr/>
        <w:t>une</w:t>
      </w:r>
      <w:r>
        <w:rPr>
          <w:spacing w:val="-2"/>
        </w:rPr>
        <w:t> </w:t>
      </w:r>
      <w:r>
        <w:rPr/>
        <w:t>caractéristique précise,</w:t>
      </w:r>
      <w:r>
        <w:rPr>
          <w:spacing w:val="-1"/>
        </w:rPr>
        <w:t> </w:t>
      </w:r>
      <w:r>
        <w:rPr/>
        <w:t>doit</w:t>
      </w:r>
      <w:r>
        <w:rPr>
          <w:spacing w:val="-2"/>
        </w:rPr>
        <w:t> </w:t>
      </w:r>
      <w:r>
        <w:rPr/>
        <w:t>être</w:t>
      </w:r>
    </w:p>
    <w:p>
      <w:pPr>
        <w:pStyle w:val="BodyText"/>
        <w:spacing w:after="0"/>
        <w:jc w:val="both"/>
        <w:sectPr>
          <w:pgSz w:w="11910" w:h="16840"/>
          <w:pgMar w:header="0" w:footer="347" w:top="1900" w:bottom="540" w:left="1417" w:right="1275"/>
        </w:sectPr>
      </w:pPr>
    </w:p>
    <w:p>
      <w:pPr>
        <w:pStyle w:val="BodyText"/>
        <w:spacing w:before="68"/>
        <w:ind w:left="3" w:right="152"/>
        <w:jc w:val="both"/>
      </w:pPr>
      <w:r>
        <w:rPr/>
        <w:t>considérée comme ayant un caractère distinctif intrinsèque normal, ce que ne conteste pas la </w:t>
      </w:r>
      <w:r>
        <w:rPr>
          <w:spacing w:val="-2"/>
        </w:rPr>
        <w:t>déposante.</w:t>
      </w:r>
    </w:p>
    <w:p>
      <w:pPr>
        <w:pStyle w:val="BodyText"/>
        <w:spacing w:before="20"/>
      </w:pPr>
    </w:p>
    <w:p>
      <w:pPr>
        <w:pStyle w:val="Heading2"/>
        <w:numPr>
          <w:ilvl w:val="0"/>
          <w:numId w:val="2"/>
        </w:numPr>
        <w:tabs>
          <w:tab w:pos="722" w:val="left" w:leader="none"/>
        </w:tabs>
        <w:spacing w:line="240" w:lineRule="auto" w:before="0" w:after="0"/>
        <w:ind w:left="722" w:right="0" w:hanging="359"/>
        <w:jc w:val="left"/>
      </w:pPr>
      <w:r>
        <w:rPr/>
        <w:t>Sur</w:t>
      </w:r>
      <w:r>
        <w:rPr>
          <w:spacing w:val="1"/>
        </w:rPr>
        <w:t> </w:t>
      </w:r>
      <w:r>
        <w:rPr/>
        <w:t>l’intensité</w:t>
      </w:r>
      <w:r>
        <w:rPr>
          <w:spacing w:val="1"/>
        </w:rPr>
        <w:t> </w:t>
      </w:r>
      <w:r>
        <w:rPr/>
        <w:t>de</w:t>
      </w:r>
      <w:r>
        <w:rPr>
          <w:spacing w:val="2"/>
        </w:rPr>
        <w:t> </w:t>
      </w:r>
      <w:r>
        <w:rPr/>
        <w:t>la</w:t>
      </w:r>
      <w:r>
        <w:rPr>
          <w:spacing w:val="2"/>
        </w:rPr>
        <w:t> </w:t>
      </w:r>
      <w:r>
        <w:rPr/>
        <w:t>renommée</w:t>
      </w:r>
      <w:r>
        <w:rPr>
          <w:spacing w:val="1"/>
        </w:rPr>
        <w:t> </w:t>
      </w:r>
      <w:r>
        <w:rPr/>
        <w:t>de</w:t>
      </w:r>
      <w:r>
        <w:rPr>
          <w:spacing w:val="2"/>
        </w:rPr>
        <w:t> </w:t>
      </w:r>
      <w:r>
        <w:rPr/>
        <w:t>la</w:t>
      </w:r>
      <w:r>
        <w:rPr>
          <w:spacing w:val="2"/>
        </w:rPr>
        <w:t> </w:t>
      </w:r>
      <w:r>
        <w:rPr/>
        <w:t>marque</w:t>
      </w:r>
      <w:r>
        <w:rPr>
          <w:spacing w:val="2"/>
        </w:rPr>
        <w:t> </w:t>
      </w:r>
      <w:r>
        <w:rPr>
          <w:spacing w:val="-2"/>
        </w:rPr>
        <w:t>antérieure</w:t>
      </w:r>
    </w:p>
    <w:p>
      <w:pPr>
        <w:pStyle w:val="BodyText"/>
        <w:spacing w:before="21"/>
        <w:rPr>
          <w:rFonts w:ascii="Cambria"/>
          <w:b/>
        </w:rPr>
      </w:pPr>
    </w:p>
    <w:p>
      <w:pPr>
        <w:spacing w:before="0"/>
        <w:ind w:left="3" w:right="144" w:firstLine="0"/>
        <w:jc w:val="both"/>
        <w:rPr>
          <w:sz w:val="24"/>
        </w:rPr>
      </w:pPr>
      <w:r>
        <w:rPr>
          <w:sz w:val="24"/>
        </w:rPr>
        <w:t>Comme relevé précédemment, la société opposante a établi que la marque antérieure jouit d’une</w:t>
      </w:r>
      <w:r>
        <w:rPr>
          <w:spacing w:val="40"/>
          <w:sz w:val="24"/>
        </w:rPr>
        <w:t> </w:t>
      </w:r>
      <w:r>
        <w:rPr>
          <w:sz w:val="24"/>
        </w:rPr>
        <w:t>renommée</w:t>
      </w:r>
      <w:r>
        <w:rPr>
          <w:spacing w:val="40"/>
          <w:sz w:val="24"/>
        </w:rPr>
        <w:t> </w:t>
      </w:r>
      <w:r>
        <w:rPr>
          <w:sz w:val="24"/>
        </w:rPr>
        <w:t>importante</w:t>
      </w:r>
      <w:r>
        <w:rPr>
          <w:spacing w:val="40"/>
          <w:sz w:val="24"/>
        </w:rPr>
        <w:t> </w:t>
      </w:r>
      <w:r>
        <w:rPr>
          <w:sz w:val="24"/>
        </w:rPr>
        <w:t>pour</w:t>
      </w:r>
      <w:r>
        <w:rPr>
          <w:spacing w:val="40"/>
          <w:sz w:val="24"/>
        </w:rPr>
        <w:t> </w:t>
      </w:r>
      <w:r>
        <w:rPr>
          <w:sz w:val="24"/>
        </w:rPr>
        <w:t>désigner</w:t>
      </w:r>
      <w:r>
        <w:rPr>
          <w:spacing w:val="40"/>
          <w:sz w:val="24"/>
        </w:rPr>
        <w:t> </w:t>
      </w:r>
      <w:r>
        <w:rPr>
          <w:sz w:val="24"/>
        </w:rPr>
        <w:t>des</w:t>
      </w:r>
      <w:r>
        <w:rPr>
          <w:spacing w:val="40"/>
          <w:sz w:val="24"/>
        </w:rPr>
        <w:t> </w:t>
      </w:r>
      <w:r>
        <w:rPr>
          <w:sz w:val="24"/>
        </w:rPr>
        <w:t>«</w:t>
      </w:r>
      <w:r>
        <w:rPr>
          <w:spacing w:val="40"/>
          <w:sz w:val="24"/>
        </w:rPr>
        <w:t> </w:t>
      </w:r>
      <w:r>
        <w:rPr>
          <w:i/>
          <w:sz w:val="24"/>
        </w:rPr>
        <w:t>Produits</w:t>
      </w:r>
      <w:r>
        <w:rPr>
          <w:i/>
          <w:spacing w:val="40"/>
          <w:sz w:val="24"/>
        </w:rPr>
        <w:t> </w:t>
      </w:r>
      <w:r>
        <w:rPr>
          <w:i/>
          <w:sz w:val="24"/>
        </w:rPr>
        <w:t>de</w:t>
      </w:r>
      <w:r>
        <w:rPr>
          <w:i/>
          <w:spacing w:val="40"/>
          <w:sz w:val="24"/>
        </w:rPr>
        <w:t> </w:t>
      </w:r>
      <w:r>
        <w:rPr>
          <w:i/>
          <w:sz w:val="24"/>
        </w:rPr>
        <w:t>parfumerie</w:t>
      </w:r>
      <w:r>
        <w:rPr>
          <w:i/>
          <w:spacing w:val="40"/>
          <w:sz w:val="24"/>
        </w:rPr>
        <w:t> </w:t>
      </w:r>
      <w:r>
        <w:rPr>
          <w:i/>
          <w:sz w:val="24"/>
        </w:rPr>
        <w:t>notamment parfums </w:t>
      </w:r>
      <w:r>
        <w:rPr>
          <w:sz w:val="24"/>
        </w:rPr>
        <w:t>».</w:t>
      </w:r>
    </w:p>
    <w:p>
      <w:pPr>
        <w:pStyle w:val="BodyText"/>
        <w:spacing w:before="22"/>
      </w:pPr>
    </w:p>
    <w:p>
      <w:pPr>
        <w:pStyle w:val="Heading2"/>
        <w:numPr>
          <w:ilvl w:val="0"/>
          <w:numId w:val="2"/>
        </w:numPr>
        <w:tabs>
          <w:tab w:pos="723" w:val="left" w:leader="none"/>
        </w:tabs>
        <w:spacing w:line="280" w:lineRule="auto" w:before="0" w:after="0"/>
        <w:ind w:left="723" w:right="158" w:hanging="360"/>
        <w:jc w:val="left"/>
      </w:pPr>
      <w:r>
        <w:rPr/>
        <w:t>Sur la nature des produits et services en cause, leur degré de similitude ou </w:t>
      </w:r>
      <w:r>
        <w:rPr>
          <w:w w:val="105"/>
        </w:rPr>
        <w:t>de dissemblance, et sur le public concerné</w:t>
      </w:r>
    </w:p>
    <w:p>
      <w:pPr>
        <w:spacing w:before="254"/>
        <w:ind w:left="3" w:right="139" w:firstLine="0"/>
        <w:jc w:val="both"/>
        <w:rPr>
          <w:sz w:val="24"/>
        </w:rPr>
      </w:pPr>
      <w:r>
        <w:rPr>
          <w:sz w:val="24"/>
        </w:rPr>
        <w:t>La présente opposition fondée sur l’atteinte à la renommée de la marque antérieure porte sur les</w:t>
      </w:r>
      <w:r>
        <w:rPr>
          <w:spacing w:val="-4"/>
          <w:sz w:val="24"/>
        </w:rPr>
        <w:t> </w:t>
      </w:r>
      <w:r>
        <w:rPr>
          <w:sz w:val="24"/>
        </w:rPr>
        <w:t>services</w:t>
      </w:r>
      <w:r>
        <w:rPr>
          <w:spacing w:val="-4"/>
          <w:sz w:val="24"/>
        </w:rPr>
        <w:t> </w:t>
      </w:r>
      <w:r>
        <w:rPr>
          <w:sz w:val="24"/>
        </w:rPr>
        <w:t>suivants</w:t>
      </w:r>
      <w:r>
        <w:rPr>
          <w:spacing w:val="-2"/>
          <w:sz w:val="24"/>
        </w:rPr>
        <w:t> </w:t>
      </w:r>
      <w:r>
        <w:rPr>
          <w:sz w:val="24"/>
        </w:rPr>
        <w:t>visés</w:t>
      </w:r>
      <w:r>
        <w:rPr>
          <w:spacing w:val="-4"/>
          <w:sz w:val="24"/>
        </w:rPr>
        <w:t> </w:t>
      </w:r>
      <w:r>
        <w:rPr>
          <w:sz w:val="24"/>
        </w:rPr>
        <w:t>dans</w:t>
      </w:r>
      <w:r>
        <w:rPr>
          <w:spacing w:val="-4"/>
          <w:sz w:val="24"/>
        </w:rPr>
        <w:t> </w:t>
      </w:r>
      <w:r>
        <w:rPr>
          <w:sz w:val="24"/>
        </w:rPr>
        <w:t>l’enregistrement</w:t>
      </w:r>
      <w:r>
        <w:rPr>
          <w:spacing w:val="-1"/>
          <w:sz w:val="24"/>
        </w:rPr>
        <w:t> </w:t>
      </w:r>
      <w:r>
        <w:rPr>
          <w:sz w:val="24"/>
        </w:rPr>
        <w:t>de</w:t>
      </w:r>
      <w:r>
        <w:rPr>
          <w:spacing w:val="-5"/>
          <w:sz w:val="24"/>
        </w:rPr>
        <w:t> </w:t>
      </w:r>
      <w:r>
        <w:rPr>
          <w:sz w:val="24"/>
        </w:rPr>
        <w:t>la</w:t>
      </w:r>
      <w:r>
        <w:rPr>
          <w:spacing w:val="-3"/>
          <w:sz w:val="24"/>
        </w:rPr>
        <w:t> </w:t>
      </w:r>
      <w:r>
        <w:rPr>
          <w:sz w:val="24"/>
        </w:rPr>
        <w:t>marque</w:t>
      </w:r>
      <w:r>
        <w:rPr>
          <w:spacing w:val="-3"/>
          <w:sz w:val="24"/>
        </w:rPr>
        <w:t> </w:t>
      </w:r>
      <w:r>
        <w:rPr>
          <w:sz w:val="24"/>
        </w:rPr>
        <w:t>contestée,</w:t>
      </w:r>
      <w:r>
        <w:rPr>
          <w:spacing w:val="-3"/>
          <w:sz w:val="24"/>
        </w:rPr>
        <w:t> </w:t>
      </w:r>
      <w:r>
        <w:rPr>
          <w:sz w:val="24"/>
        </w:rPr>
        <w:t>à</w:t>
      </w:r>
      <w:r>
        <w:rPr>
          <w:spacing w:val="-5"/>
          <w:sz w:val="24"/>
        </w:rPr>
        <w:t> </w:t>
      </w:r>
      <w:r>
        <w:rPr>
          <w:sz w:val="24"/>
        </w:rPr>
        <w:t>savoir</w:t>
      </w:r>
      <w:r>
        <w:rPr>
          <w:spacing w:val="-4"/>
          <w:sz w:val="24"/>
        </w:rPr>
        <w:t> </w:t>
      </w:r>
      <w:r>
        <w:rPr>
          <w:sz w:val="24"/>
        </w:rPr>
        <w:t>« </w:t>
      </w:r>
      <w:r>
        <w:rPr>
          <w:i/>
          <w:sz w:val="24"/>
        </w:rPr>
        <w:t>Services</w:t>
      </w:r>
      <w:r>
        <w:rPr>
          <w:i/>
          <w:spacing w:val="-2"/>
          <w:sz w:val="24"/>
        </w:rPr>
        <w:t> </w:t>
      </w:r>
      <w:r>
        <w:rPr>
          <w:i/>
          <w:sz w:val="24"/>
        </w:rPr>
        <w:t>de restauration (alimentation) ; hébergement temporaire ; services de bars ; services de</w:t>
      </w:r>
      <w:r>
        <w:rPr>
          <w:i/>
          <w:spacing w:val="40"/>
          <w:sz w:val="24"/>
        </w:rPr>
        <w:t> </w:t>
      </w:r>
      <w:r>
        <w:rPr>
          <w:i/>
          <w:sz w:val="24"/>
        </w:rPr>
        <w:t>traiteurs ; services hôteliers ; réservation de logements temporaires </w:t>
      </w:r>
      <w:r>
        <w:rPr>
          <w:sz w:val="24"/>
        </w:rPr>
        <w:t>».</w:t>
      </w:r>
    </w:p>
    <w:p>
      <w:pPr>
        <w:pStyle w:val="BodyText"/>
      </w:pPr>
    </w:p>
    <w:p>
      <w:pPr>
        <w:spacing w:before="0"/>
        <w:ind w:left="3" w:right="140" w:firstLine="0"/>
        <w:jc w:val="both"/>
        <w:rPr>
          <w:sz w:val="24"/>
        </w:rPr>
      </w:pPr>
      <w:r>
        <w:rPr>
          <w:sz w:val="24"/>
        </w:rPr>
        <w:t>La société opposante a fondé son opposition sur les produits suivants : « </w:t>
      </w:r>
      <w:r>
        <w:rPr>
          <w:i/>
          <w:sz w:val="24"/>
        </w:rPr>
        <w:t>Produits de parfumerie notamment parfums </w:t>
      </w:r>
      <w:r>
        <w:rPr>
          <w:sz w:val="24"/>
        </w:rPr>
        <w:t>».</w:t>
      </w:r>
    </w:p>
    <w:p>
      <w:pPr>
        <w:pStyle w:val="BodyText"/>
      </w:pPr>
    </w:p>
    <w:p>
      <w:pPr>
        <w:spacing w:before="0"/>
        <w:ind w:left="3" w:right="145" w:firstLine="0"/>
        <w:jc w:val="both"/>
        <w:rPr>
          <w:sz w:val="24"/>
        </w:rPr>
      </w:pPr>
      <w:r>
        <w:rPr>
          <w:sz w:val="24"/>
        </w:rPr>
        <w:t>Pour démontrer l’existence d’un lien entre les signes dans l’esprit du public la société opposante fait</w:t>
      </w:r>
      <w:r>
        <w:rPr>
          <w:spacing w:val="-1"/>
          <w:sz w:val="24"/>
        </w:rPr>
        <w:t> </w:t>
      </w:r>
      <w:r>
        <w:rPr>
          <w:sz w:val="24"/>
        </w:rPr>
        <w:t>valoir que</w:t>
      </w:r>
      <w:r>
        <w:rPr>
          <w:spacing w:val="-2"/>
          <w:sz w:val="24"/>
        </w:rPr>
        <w:t> </w:t>
      </w:r>
      <w:r>
        <w:rPr>
          <w:sz w:val="24"/>
        </w:rPr>
        <w:t>bien que</w:t>
      </w:r>
      <w:r>
        <w:rPr>
          <w:spacing w:val="-1"/>
          <w:sz w:val="24"/>
        </w:rPr>
        <w:t> </w:t>
      </w:r>
      <w:r>
        <w:rPr>
          <w:sz w:val="24"/>
        </w:rPr>
        <w:t>les produits en cause</w:t>
      </w:r>
      <w:r>
        <w:rPr>
          <w:spacing w:val="-2"/>
          <w:sz w:val="24"/>
        </w:rPr>
        <w:t> </w:t>
      </w:r>
      <w:r>
        <w:rPr>
          <w:sz w:val="24"/>
        </w:rPr>
        <w:t>soient différents, les signes</w:t>
      </w:r>
      <w:r>
        <w:rPr>
          <w:spacing w:val="-1"/>
          <w:sz w:val="24"/>
        </w:rPr>
        <w:t> </w:t>
      </w:r>
      <w:r>
        <w:rPr>
          <w:sz w:val="24"/>
        </w:rPr>
        <w:t>présentent un lien «</w:t>
      </w:r>
      <w:r>
        <w:rPr>
          <w:spacing w:val="-3"/>
          <w:sz w:val="24"/>
        </w:rPr>
        <w:t> </w:t>
      </w:r>
      <w:r>
        <w:rPr>
          <w:i/>
          <w:sz w:val="24"/>
        </w:rPr>
        <w:t>évident dans l’esprit du consommateur dans la mesure où de nombreuses marques</w:t>
      </w:r>
      <w:r>
        <w:rPr>
          <w:i/>
          <w:spacing w:val="40"/>
          <w:sz w:val="24"/>
        </w:rPr>
        <w:t> </w:t>
      </w:r>
      <w:r>
        <w:rPr>
          <w:i/>
          <w:sz w:val="24"/>
        </w:rPr>
        <w:t>de luxe (dont DIOR) offrent des services de restauration, (…). Certaines d’entre elles investissent également dans l’hôtellerie afin de faire vivre à leurs clients de nouvelles expériences </w:t>
      </w:r>
      <w:r>
        <w:rPr>
          <w:sz w:val="24"/>
        </w:rPr>
        <w:t>»</w:t>
      </w:r>
    </w:p>
    <w:p>
      <w:pPr>
        <w:pStyle w:val="BodyText"/>
      </w:pPr>
    </w:p>
    <w:p>
      <w:pPr>
        <w:pStyle w:val="BodyText"/>
        <w:ind w:left="3" w:right="156"/>
        <w:jc w:val="both"/>
      </w:pPr>
      <w:r>
        <w:rPr/>
        <w:t>A l’appui de son argumentation sur la diversification des entreprises dans le secteur de la mode et du luxe, la société opposante a fourni des documents relatifs à des marques de luxes (DIOR, ARMANI, VUITTON, BULGARI, PRADA, GUCCI) disposant de cafés, de spa et d’hôtels de luxe.</w:t>
      </w:r>
    </w:p>
    <w:p>
      <w:pPr>
        <w:pStyle w:val="BodyText"/>
      </w:pPr>
    </w:p>
    <w:p>
      <w:pPr>
        <w:pStyle w:val="BodyText"/>
        <w:ind w:left="3" w:right="157"/>
        <w:jc w:val="both"/>
      </w:pPr>
      <w:r>
        <w:rPr/>
        <w:t>La société opposante indique par ailleurs avoir ouvert des cafés, restaurants à l’étranger et un spa dans un hôtel en France.</w:t>
      </w:r>
    </w:p>
    <w:p>
      <w:pPr>
        <w:pStyle w:val="BodyText"/>
      </w:pPr>
    </w:p>
    <w:p>
      <w:pPr>
        <w:pStyle w:val="BodyText"/>
        <w:ind w:left="3" w:right="138"/>
        <w:jc w:val="both"/>
      </w:pPr>
      <w:r>
        <w:rPr/>
        <w:t>Il y a lieu de relever qu’au vu des documents fournis, il est établi que de plus en plus fréquemment les entreprises dans les secteurs du luxe et de la mode en général, cherchent à élargir</w:t>
      </w:r>
      <w:r>
        <w:rPr>
          <w:spacing w:val="-1"/>
        </w:rPr>
        <w:t> </w:t>
      </w:r>
      <w:r>
        <w:rPr/>
        <w:t>l’expérience du</w:t>
      </w:r>
      <w:r>
        <w:rPr>
          <w:spacing w:val="-3"/>
        </w:rPr>
        <w:t> </w:t>
      </w:r>
      <w:r>
        <w:rPr/>
        <w:t>shopping</w:t>
      </w:r>
      <w:r>
        <w:rPr>
          <w:spacing w:val="-1"/>
        </w:rPr>
        <w:t> </w:t>
      </w:r>
      <w:r>
        <w:rPr/>
        <w:t>vers</w:t>
      </w:r>
      <w:r>
        <w:rPr>
          <w:spacing w:val="-2"/>
        </w:rPr>
        <w:t> </w:t>
      </w:r>
      <w:r>
        <w:rPr/>
        <w:t>l’hôtellerie et</w:t>
      </w:r>
      <w:r>
        <w:rPr>
          <w:spacing w:val="-2"/>
        </w:rPr>
        <w:t> </w:t>
      </w:r>
      <w:r>
        <w:rPr/>
        <w:t>la</w:t>
      </w:r>
      <w:r>
        <w:rPr>
          <w:spacing w:val="-2"/>
        </w:rPr>
        <w:t> </w:t>
      </w:r>
      <w:r>
        <w:rPr/>
        <w:t>restauration, ouvrant</w:t>
      </w:r>
      <w:r>
        <w:rPr>
          <w:spacing w:val="-2"/>
        </w:rPr>
        <w:t> </w:t>
      </w:r>
      <w:r>
        <w:rPr/>
        <w:t>des</w:t>
      </w:r>
      <w:r>
        <w:rPr>
          <w:spacing w:val="-2"/>
        </w:rPr>
        <w:t> </w:t>
      </w:r>
      <w:r>
        <w:rPr/>
        <w:t>établissements d’hébergement</w:t>
      </w:r>
      <w:r>
        <w:rPr>
          <w:spacing w:val="80"/>
        </w:rPr>
        <w:t> </w:t>
      </w:r>
      <w:r>
        <w:rPr/>
        <w:t>temporaire</w:t>
      </w:r>
      <w:r>
        <w:rPr>
          <w:spacing w:val="80"/>
        </w:rPr>
        <w:t> </w:t>
      </w:r>
      <w:r>
        <w:rPr/>
        <w:t>et</w:t>
      </w:r>
      <w:r>
        <w:rPr>
          <w:spacing w:val="80"/>
        </w:rPr>
        <w:t> </w:t>
      </w:r>
      <w:r>
        <w:rPr/>
        <w:t>de</w:t>
      </w:r>
      <w:r>
        <w:rPr>
          <w:spacing w:val="80"/>
        </w:rPr>
        <w:t> </w:t>
      </w:r>
      <w:r>
        <w:rPr/>
        <w:t>restauration</w:t>
      </w:r>
      <w:r>
        <w:rPr>
          <w:spacing w:val="80"/>
        </w:rPr>
        <w:t> </w:t>
      </w:r>
      <w:r>
        <w:rPr/>
        <w:t>dans</w:t>
      </w:r>
      <w:r>
        <w:rPr>
          <w:spacing w:val="80"/>
        </w:rPr>
        <w:t> </w:t>
      </w:r>
      <w:r>
        <w:rPr/>
        <w:t>lesquels</w:t>
      </w:r>
      <w:r>
        <w:rPr>
          <w:spacing w:val="80"/>
        </w:rPr>
        <w:t> </w:t>
      </w:r>
      <w:r>
        <w:rPr/>
        <w:t>sont</w:t>
      </w:r>
      <w:r>
        <w:rPr>
          <w:spacing w:val="80"/>
        </w:rPr>
        <w:t> </w:t>
      </w:r>
      <w:r>
        <w:rPr/>
        <w:t>également</w:t>
      </w:r>
      <w:r>
        <w:rPr>
          <w:spacing w:val="80"/>
        </w:rPr>
        <w:t> </w:t>
      </w:r>
      <w:r>
        <w:rPr/>
        <w:t>logées</w:t>
      </w:r>
      <w:r>
        <w:rPr>
          <w:spacing w:val="80"/>
        </w:rPr>
        <w:t> </w:t>
      </w:r>
      <w:r>
        <w:rPr/>
        <w:t>des</w:t>
      </w:r>
    </w:p>
    <w:p>
      <w:pPr>
        <w:pStyle w:val="BodyText"/>
        <w:spacing w:before="1"/>
        <w:ind w:left="3"/>
        <w:jc w:val="both"/>
      </w:pPr>
      <w:r>
        <w:rPr/>
        <w:t>«</w:t>
      </w:r>
      <w:r>
        <w:rPr>
          <w:spacing w:val="-6"/>
        </w:rPr>
        <w:t> </w:t>
      </w:r>
      <w:r>
        <w:rPr/>
        <w:t>concept</w:t>
      </w:r>
      <w:r>
        <w:rPr>
          <w:spacing w:val="-2"/>
        </w:rPr>
        <w:t> </w:t>
      </w:r>
      <w:r>
        <w:rPr/>
        <w:t>stores</w:t>
      </w:r>
      <w:r>
        <w:rPr>
          <w:spacing w:val="-2"/>
        </w:rPr>
        <w:t> </w:t>
      </w:r>
      <w:r>
        <w:rPr/>
        <w:t>»</w:t>
      </w:r>
      <w:r>
        <w:rPr>
          <w:spacing w:val="-3"/>
        </w:rPr>
        <w:t> </w:t>
      </w:r>
      <w:r>
        <w:rPr/>
        <w:t>dédiées</w:t>
      </w:r>
      <w:r>
        <w:rPr>
          <w:spacing w:val="-1"/>
        </w:rPr>
        <w:t> </w:t>
      </w:r>
      <w:r>
        <w:rPr/>
        <w:t>à</w:t>
      </w:r>
      <w:r>
        <w:rPr>
          <w:spacing w:val="-4"/>
        </w:rPr>
        <w:t> </w:t>
      </w:r>
      <w:r>
        <w:rPr/>
        <w:t>un</w:t>
      </w:r>
      <w:r>
        <w:rPr>
          <w:spacing w:val="-3"/>
        </w:rPr>
        <w:t> </w:t>
      </w:r>
      <w:r>
        <w:rPr/>
        <w:t>univers</w:t>
      </w:r>
      <w:r>
        <w:rPr>
          <w:spacing w:val="-3"/>
        </w:rPr>
        <w:t> </w:t>
      </w:r>
      <w:r>
        <w:rPr/>
        <w:t>thématique</w:t>
      </w:r>
      <w:r>
        <w:rPr>
          <w:spacing w:val="-2"/>
        </w:rPr>
        <w:t> particulier.</w:t>
      </w:r>
    </w:p>
    <w:p>
      <w:pPr>
        <w:pStyle w:val="BodyText"/>
        <w:spacing w:before="276"/>
        <w:ind w:left="3" w:right="148"/>
        <w:jc w:val="both"/>
      </w:pPr>
      <w:r>
        <w:rPr/>
        <w:t>Dès lors, et indépendamment du degré de similitude existant entre les services contestés avec les produits pour lesquels la marque antérieure jouit d’une renommée, on ne saurait exclure que</w:t>
      </w:r>
      <w:r>
        <w:rPr>
          <w:spacing w:val="-4"/>
        </w:rPr>
        <w:t> </w:t>
      </w:r>
      <w:r>
        <w:rPr/>
        <w:t>le</w:t>
      </w:r>
      <w:r>
        <w:rPr>
          <w:spacing w:val="-2"/>
        </w:rPr>
        <w:t> </w:t>
      </w:r>
      <w:r>
        <w:rPr/>
        <w:t>public</w:t>
      </w:r>
      <w:r>
        <w:rPr>
          <w:spacing w:val="-2"/>
        </w:rPr>
        <w:t> </w:t>
      </w:r>
      <w:r>
        <w:rPr/>
        <w:t>établisse</w:t>
      </w:r>
      <w:r>
        <w:rPr>
          <w:spacing w:val="-2"/>
        </w:rPr>
        <w:t> </w:t>
      </w:r>
      <w:r>
        <w:rPr/>
        <w:t>un</w:t>
      </w:r>
      <w:r>
        <w:rPr>
          <w:spacing w:val="-3"/>
        </w:rPr>
        <w:t> </w:t>
      </w:r>
      <w:r>
        <w:rPr/>
        <w:t>lien</w:t>
      </w:r>
      <w:r>
        <w:rPr>
          <w:spacing w:val="-2"/>
        </w:rPr>
        <w:t> </w:t>
      </w:r>
      <w:r>
        <w:rPr/>
        <w:t>mental</w:t>
      </w:r>
      <w:r>
        <w:rPr>
          <w:spacing w:val="-2"/>
        </w:rPr>
        <w:t> </w:t>
      </w:r>
      <w:r>
        <w:rPr/>
        <w:t>entre</w:t>
      </w:r>
      <w:r>
        <w:rPr>
          <w:spacing w:val="-2"/>
        </w:rPr>
        <w:t> </w:t>
      </w:r>
      <w:r>
        <w:rPr/>
        <w:t>les</w:t>
      </w:r>
      <w:r>
        <w:rPr>
          <w:spacing w:val="-3"/>
        </w:rPr>
        <w:t> </w:t>
      </w:r>
      <w:r>
        <w:rPr/>
        <w:t>signes</w:t>
      </w:r>
      <w:r>
        <w:rPr>
          <w:spacing w:val="-3"/>
        </w:rPr>
        <w:t> </w:t>
      </w:r>
      <w:r>
        <w:rPr/>
        <w:t>en</w:t>
      </w:r>
      <w:r>
        <w:rPr>
          <w:spacing w:val="-3"/>
        </w:rPr>
        <w:t> </w:t>
      </w:r>
      <w:r>
        <w:rPr/>
        <w:t>cause</w:t>
      </w:r>
      <w:r>
        <w:rPr>
          <w:spacing w:val="-2"/>
        </w:rPr>
        <w:t> </w:t>
      </w:r>
      <w:r>
        <w:rPr/>
        <w:t>et</w:t>
      </w:r>
      <w:r>
        <w:rPr>
          <w:spacing w:val="-4"/>
        </w:rPr>
        <w:t> </w:t>
      </w:r>
      <w:r>
        <w:rPr/>
        <w:t>fasse</w:t>
      </w:r>
      <w:r>
        <w:rPr>
          <w:spacing w:val="-4"/>
        </w:rPr>
        <w:t> </w:t>
      </w:r>
      <w:r>
        <w:rPr/>
        <w:t>donc</w:t>
      </w:r>
      <w:r>
        <w:rPr>
          <w:spacing w:val="-4"/>
        </w:rPr>
        <w:t> </w:t>
      </w:r>
      <w:r>
        <w:rPr/>
        <w:t>un</w:t>
      </w:r>
      <w:r>
        <w:rPr>
          <w:spacing w:val="-3"/>
        </w:rPr>
        <w:t> </w:t>
      </w:r>
      <w:r>
        <w:rPr/>
        <w:t>rapprochement entre eux compte tenu du degré de similitude entre ces signes et, outre une certaine</w:t>
      </w:r>
      <w:r>
        <w:rPr>
          <w:spacing w:val="40"/>
        </w:rPr>
        <w:t> </w:t>
      </w:r>
      <w:r>
        <w:rPr/>
        <w:t>renommée, le caractère distinctif intrinsèque normal de la marque antérieure.</w:t>
      </w:r>
    </w:p>
    <w:p>
      <w:pPr>
        <w:pStyle w:val="BodyText"/>
        <w:spacing w:after="0"/>
        <w:jc w:val="both"/>
        <w:sectPr>
          <w:pgSz w:w="11910" w:h="16840"/>
          <w:pgMar w:header="0" w:footer="347" w:top="1900" w:bottom="540" w:left="1417" w:right="1275"/>
        </w:sectPr>
      </w:pPr>
    </w:p>
    <w:p>
      <w:pPr>
        <w:pStyle w:val="BodyText"/>
        <w:spacing w:before="68"/>
        <w:ind w:left="3" w:right="153"/>
        <w:jc w:val="both"/>
      </w:pPr>
      <w:r>
        <w:rPr/>
        <w:t>Pour l’ensemble de ces raisons, il apparaît vraisemblable que, confronté aux services précités sous le signe L’APPARTEMENT SAUVAGE, le public pertinent puisse établir un lien avec la</w:t>
      </w:r>
      <w:r>
        <w:rPr>
          <w:spacing w:val="-1"/>
        </w:rPr>
        <w:t> </w:t>
      </w:r>
      <w:r>
        <w:rPr/>
        <w:t>marque antérieure et</w:t>
      </w:r>
      <w:r>
        <w:rPr>
          <w:spacing w:val="-1"/>
        </w:rPr>
        <w:t> </w:t>
      </w:r>
      <w:r>
        <w:rPr/>
        <w:t>ce, malgré leur absence</w:t>
      </w:r>
      <w:r>
        <w:rPr>
          <w:spacing w:val="-1"/>
        </w:rPr>
        <w:t> </w:t>
      </w:r>
      <w:r>
        <w:rPr/>
        <w:t>d’identité ou de</w:t>
      </w:r>
      <w:r>
        <w:rPr>
          <w:spacing w:val="-1"/>
        </w:rPr>
        <w:t> </w:t>
      </w:r>
      <w:r>
        <w:rPr/>
        <w:t>similarité avec</w:t>
      </w:r>
      <w:r>
        <w:rPr>
          <w:spacing w:val="-1"/>
        </w:rPr>
        <w:t> </w:t>
      </w:r>
      <w:r>
        <w:rPr/>
        <w:t>les produits de la marque renommée.</w:t>
      </w:r>
    </w:p>
    <w:p>
      <w:pPr>
        <w:pStyle w:val="BodyText"/>
        <w:spacing w:before="20"/>
      </w:pPr>
    </w:p>
    <w:p>
      <w:pPr>
        <w:pStyle w:val="Heading2"/>
        <w:numPr>
          <w:ilvl w:val="0"/>
          <w:numId w:val="2"/>
        </w:numPr>
        <w:tabs>
          <w:tab w:pos="722" w:val="left" w:leader="none"/>
        </w:tabs>
        <w:spacing w:line="240" w:lineRule="auto" w:before="0" w:after="0"/>
        <w:ind w:left="722" w:right="0" w:hanging="359"/>
        <w:jc w:val="left"/>
      </w:pPr>
      <w:r>
        <w:rPr/>
        <w:t>Sur</w:t>
      </w:r>
      <w:r>
        <w:rPr>
          <w:spacing w:val="1"/>
        </w:rPr>
        <w:t> </w:t>
      </w:r>
      <w:r>
        <w:rPr/>
        <w:t>le</w:t>
      </w:r>
      <w:r>
        <w:rPr>
          <w:spacing w:val="1"/>
        </w:rPr>
        <w:t> </w:t>
      </w:r>
      <w:r>
        <w:rPr/>
        <w:t>risque</w:t>
      </w:r>
      <w:r>
        <w:rPr>
          <w:spacing w:val="2"/>
        </w:rPr>
        <w:t> </w:t>
      </w:r>
      <w:r>
        <w:rPr/>
        <w:t>de</w:t>
      </w:r>
      <w:r>
        <w:rPr>
          <w:spacing w:val="1"/>
        </w:rPr>
        <w:t> </w:t>
      </w:r>
      <w:r>
        <w:rPr/>
        <w:t>profit</w:t>
      </w:r>
      <w:r>
        <w:rPr>
          <w:spacing w:val="2"/>
        </w:rPr>
        <w:t> </w:t>
      </w:r>
      <w:r>
        <w:rPr/>
        <w:t>indu</w:t>
      </w:r>
      <w:r>
        <w:rPr>
          <w:spacing w:val="1"/>
        </w:rPr>
        <w:t> </w:t>
      </w:r>
      <w:r>
        <w:rPr/>
        <w:t>ou</w:t>
      </w:r>
      <w:r>
        <w:rPr>
          <w:spacing w:val="1"/>
        </w:rPr>
        <w:t> </w:t>
      </w:r>
      <w:r>
        <w:rPr/>
        <w:t>de</w:t>
      </w:r>
      <w:r>
        <w:rPr>
          <w:spacing w:val="1"/>
        </w:rPr>
        <w:t> </w:t>
      </w:r>
      <w:r>
        <w:rPr>
          <w:spacing w:val="-2"/>
        </w:rPr>
        <w:t>préjudice</w:t>
      </w:r>
    </w:p>
    <w:p>
      <w:pPr>
        <w:pStyle w:val="BodyText"/>
        <w:spacing w:before="21"/>
        <w:rPr>
          <w:rFonts w:ascii="Cambria"/>
          <w:b/>
        </w:rPr>
      </w:pPr>
    </w:p>
    <w:p>
      <w:pPr>
        <w:pStyle w:val="BodyText"/>
        <w:ind w:left="3" w:right="153"/>
        <w:jc w:val="both"/>
      </w:pPr>
      <w:r>
        <w:rPr/>
        <w:t>L’atteinte à la renommée de la marque invoquée suppose qu’il existe un risque que l’usage de la marque contestée tire indûment profit du caractère distinctif ou de la renommée de la marque antérieure, ou qu’il porte préjudice à son caractère distinctif ou à sa renommée.</w:t>
      </w:r>
    </w:p>
    <w:p>
      <w:pPr>
        <w:pStyle w:val="BodyText"/>
      </w:pPr>
    </w:p>
    <w:p>
      <w:pPr>
        <w:pStyle w:val="BodyText"/>
        <w:ind w:left="3" w:right="154"/>
        <w:jc w:val="both"/>
      </w:pPr>
      <w:r>
        <w:rPr/>
        <w:t>La notion de profit indu implique le risque que l’image de la marque renommée ou les caractéristiques qu’elle projette soient transférées aux produits et services désignés par la marque contestée, de sorte que leur commercialisation serait facilitée par cette association avec la marque antérieure renommée.</w:t>
      </w:r>
    </w:p>
    <w:p>
      <w:pPr>
        <w:pStyle w:val="BodyText"/>
      </w:pPr>
    </w:p>
    <w:p>
      <w:pPr>
        <w:pStyle w:val="BodyText"/>
        <w:ind w:left="3" w:right="159"/>
        <w:jc w:val="both"/>
      </w:pPr>
      <w:r>
        <w:rPr/>
        <w:t>Il appartient à l’opposant d’établir que ce profit indu ou ce préjudice est probable, autrement dit qu’il est prévisible dans des circonstances normales.</w:t>
      </w:r>
    </w:p>
    <w:p>
      <w:pPr>
        <w:pStyle w:val="BodyText"/>
      </w:pPr>
    </w:p>
    <w:p>
      <w:pPr>
        <w:pStyle w:val="BodyText"/>
      </w:pPr>
    </w:p>
    <w:p>
      <w:pPr>
        <w:spacing w:before="1"/>
        <w:ind w:left="3" w:right="143" w:firstLine="0"/>
        <w:jc w:val="both"/>
        <w:rPr>
          <w:sz w:val="24"/>
        </w:rPr>
      </w:pPr>
      <w:r>
        <w:rPr>
          <w:sz w:val="24"/>
        </w:rPr>
        <w:t>En l’espèce, la société opposante fait valoir que « </w:t>
      </w:r>
      <w:r>
        <w:rPr>
          <w:i/>
          <w:sz w:val="24"/>
        </w:rPr>
        <w:t>dans la mesure où le consommateur</w:t>
      </w:r>
      <w:r>
        <w:rPr>
          <w:i/>
          <w:spacing w:val="40"/>
          <w:sz w:val="24"/>
        </w:rPr>
        <w:t> </w:t>
      </w:r>
      <w:r>
        <w:rPr>
          <w:i/>
          <w:sz w:val="24"/>
        </w:rPr>
        <w:t>établira un lien entre les marques en cause, </w:t>
      </w:r>
      <w:r>
        <w:rPr>
          <w:sz w:val="24"/>
        </w:rPr>
        <w:t>[ce dernier pourrait] </w:t>
      </w:r>
      <w:r>
        <w:rPr>
          <w:i/>
          <w:sz w:val="24"/>
        </w:rPr>
        <w:t>donc décider de se tourner vers les services portant la marque contestée en pensant que le signe contesté est de près ou de loin lié à la marque antérieure renommée et que, grâce à son caractère attractif, les services présentent les mêmes caractéristiques de prestige et de qualité. […] Profitant indûment du pouvoir attractif et de la valeur publicitaire de la marque antérieure, le titulaire de la marque contestée est susceptible de stimuler les ventes de ses services au-delà de ce qui aurait pu être attendu, ce qui donne lieu à un avantage déloyal au profit du titulaire de la marque contestée </w:t>
      </w:r>
      <w:r>
        <w:rPr>
          <w:sz w:val="24"/>
        </w:rPr>
        <w:t>».</w:t>
      </w:r>
    </w:p>
    <w:p>
      <w:pPr>
        <w:pStyle w:val="BodyText"/>
      </w:pPr>
    </w:p>
    <w:p>
      <w:pPr>
        <w:pStyle w:val="BodyText"/>
        <w:ind w:left="3" w:right="137"/>
        <w:jc w:val="both"/>
      </w:pPr>
      <w:r>
        <w:rPr/>
        <w:t>En l'espèce, compte tenu de la forte renommée de la marque antérieure, issue des grands efforts</w:t>
      </w:r>
      <w:r>
        <w:rPr>
          <w:spacing w:val="-3"/>
        </w:rPr>
        <w:t> </w:t>
      </w:r>
      <w:r>
        <w:rPr/>
        <w:t>commerciaux</w:t>
      </w:r>
      <w:r>
        <w:rPr>
          <w:spacing w:val="-2"/>
        </w:rPr>
        <w:t> </w:t>
      </w:r>
      <w:r>
        <w:rPr/>
        <w:t>et</w:t>
      </w:r>
      <w:r>
        <w:rPr>
          <w:spacing w:val="-2"/>
        </w:rPr>
        <w:t> </w:t>
      </w:r>
      <w:r>
        <w:rPr/>
        <w:t>promotionnels</w:t>
      </w:r>
      <w:r>
        <w:rPr>
          <w:spacing w:val="-1"/>
        </w:rPr>
        <w:t> </w:t>
      </w:r>
      <w:r>
        <w:rPr/>
        <w:t>réalisés</w:t>
      </w:r>
      <w:r>
        <w:rPr>
          <w:spacing w:val="-1"/>
        </w:rPr>
        <w:t> </w:t>
      </w:r>
      <w:r>
        <w:rPr/>
        <w:t>par</w:t>
      </w:r>
      <w:r>
        <w:rPr>
          <w:spacing w:val="-3"/>
        </w:rPr>
        <w:t> </w:t>
      </w:r>
      <w:r>
        <w:rPr/>
        <w:t>la</w:t>
      </w:r>
      <w:r>
        <w:rPr>
          <w:spacing w:val="-4"/>
        </w:rPr>
        <w:t> </w:t>
      </w:r>
      <w:r>
        <w:rPr/>
        <w:t>société opposante</w:t>
      </w:r>
      <w:r>
        <w:rPr>
          <w:spacing w:val="-2"/>
        </w:rPr>
        <w:t> </w:t>
      </w:r>
      <w:r>
        <w:rPr/>
        <w:t>pour</w:t>
      </w:r>
      <w:r>
        <w:rPr>
          <w:spacing w:val="-3"/>
        </w:rPr>
        <w:t> </w:t>
      </w:r>
      <w:r>
        <w:rPr/>
        <w:t>créer</w:t>
      </w:r>
      <w:r>
        <w:rPr>
          <w:spacing w:val="-2"/>
        </w:rPr>
        <w:t> </w:t>
      </w:r>
      <w:r>
        <w:rPr/>
        <w:t>et</w:t>
      </w:r>
      <w:r>
        <w:rPr>
          <w:spacing w:val="-4"/>
        </w:rPr>
        <w:t> </w:t>
      </w:r>
      <w:r>
        <w:rPr/>
        <w:t>entretenir l’image</w:t>
      </w:r>
      <w:r>
        <w:rPr>
          <w:spacing w:val="-1"/>
        </w:rPr>
        <w:t> </w:t>
      </w:r>
      <w:r>
        <w:rPr/>
        <w:t>de</w:t>
      </w:r>
      <w:r>
        <w:rPr>
          <w:spacing w:val="-2"/>
        </w:rPr>
        <w:t> </w:t>
      </w:r>
      <w:r>
        <w:rPr/>
        <w:t>cette</w:t>
      </w:r>
      <w:r>
        <w:rPr>
          <w:spacing w:val="-2"/>
        </w:rPr>
        <w:t> </w:t>
      </w:r>
      <w:r>
        <w:rPr/>
        <w:t>marque, de</w:t>
      </w:r>
      <w:r>
        <w:rPr>
          <w:spacing w:val="-2"/>
        </w:rPr>
        <w:t> </w:t>
      </w:r>
      <w:r>
        <w:rPr/>
        <w:t>la</w:t>
      </w:r>
      <w:r>
        <w:rPr>
          <w:spacing w:val="-2"/>
        </w:rPr>
        <w:t> </w:t>
      </w:r>
      <w:r>
        <w:rPr/>
        <w:t>large</w:t>
      </w:r>
      <w:r>
        <w:rPr>
          <w:spacing w:val="-2"/>
        </w:rPr>
        <w:t> </w:t>
      </w:r>
      <w:r>
        <w:rPr/>
        <w:t>couverture</w:t>
      </w:r>
      <w:r>
        <w:rPr>
          <w:spacing w:val="-1"/>
        </w:rPr>
        <w:t> </w:t>
      </w:r>
      <w:r>
        <w:rPr/>
        <w:t>médiatique dont</w:t>
      </w:r>
      <w:r>
        <w:rPr>
          <w:spacing w:val="-2"/>
        </w:rPr>
        <w:t> </w:t>
      </w:r>
      <w:r>
        <w:rPr/>
        <w:t>elle</w:t>
      </w:r>
      <w:r>
        <w:rPr>
          <w:spacing w:val="-1"/>
        </w:rPr>
        <w:t> </w:t>
      </w:r>
      <w:r>
        <w:rPr/>
        <w:t>bénéficie</w:t>
      </w:r>
      <w:r>
        <w:rPr>
          <w:spacing w:val="-1"/>
        </w:rPr>
        <w:t> </w:t>
      </w:r>
      <w:r>
        <w:rPr/>
        <w:t>en</w:t>
      </w:r>
      <w:r>
        <w:rPr>
          <w:spacing w:val="-2"/>
        </w:rPr>
        <w:t> </w:t>
      </w:r>
      <w:r>
        <w:rPr/>
        <w:t>France, mais également du fait que la société opposante utilise la dénomination SAUVAGE pour désigner des</w:t>
      </w:r>
      <w:r>
        <w:rPr>
          <w:spacing w:val="-3"/>
        </w:rPr>
        <w:t> </w:t>
      </w:r>
      <w:r>
        <w:rPr/>
        <w:t>produits</w:t>
      </w:r>
      <w:r>
        <w:rPr>
          <w:spacing w:val="-3"/>
        </w:rPr>
        <w:t> </w:t>
      </w:r>
      <w:r>
        <w:rPr/>
        <w:t>de</w:t>
      </w:r>
      <w:r>
        <w:rPr>
          <w:spacing w:val="-4"/>
        </w:rPr>
        <w:t> </w:t>
      </w:r>
      <w:r>
        <w:rPr/>
        <w:t>parfumerie depuis</w:t>
      </w:r>
      <w:r>
        <w:rPr>
          <w:spacing w:val="-3"/>
        </w:rPr>
        <w:t> </w:t>
      </w:r>
      <w:r>
        <w:rPr/>
        <w:t>de</w:t>
      </w:r>
      <w:r>
        <w:rPr>
          <w:spacing w:val="-4"/>
        </w:rPr>
        <w:t> </w:t>
      </w:r>
      <w:r>
        <w:rPr/>
        <w:t>nombreuses</w:t>
      </w:r>
      <w:r>
        <w:rPr>
          <w:spacing w:val="-3"/>
        </w:rPr>
        <w:t> </w:t>
      </w:r>
      <w:r>
        <w:rPr/>
        <w:t>années</w:t>
      </w:r>
      <w:r>
        <w:rPr>
          <w:spacing w:val="-1"/>
        </w:rPr>
        <w:t> </w:t>
      </w:r>
      <w:r>
        <w:rPr/>
        <w:t>(la</w:t>
      </w:r>
      <w:r>
        <w:rPr>
          <w:spacing w:val="-4"/>
        </w:rPr>
        <w:t> </w:t>
      </w:r>
      <w:r>
        <w:rPr/>
        <w:t>marque</w:t>
      </w:r>
      <w:r>
        <w:rPr>
          <w:spacing w:val="-2"/>
        </w:rPr>
        <w:t> </w:t>
      </w:r>
      <w:r>
        <w:rPr/>
        <w:t>antérieure étant</w:t>
      </w:r>
      <w:r>
        <w:rPr>
          <w:spacing w:val="-2"/>
        </w:rPr>
        <w:t> </w:t>
      </w:r>
      <w:r>
        <w:rPr/>
        <w:t>présentée comme </w:t>
      </w:r>
      <w:r>
        <w:rPr>
          <w:i/>
        </w:rPr>
        <w:t>« la dernière déclinaison de l’iconique Eau Sauvage de Dior, créée en 1966 </w:t>
      </w:r>
      <w:r>
        <w:rPr/>
        <w:t>» - annexe 3), on peut supposer qu'une grande partie du public concerné pourra associer la</w:t>
      </w:r>
      <w:r>
        <w:rPr>
          <w:spacing w:val="40"/>
        </w:rPr>
        <w:t> </w:t>
      </w:r>
      <w:r>
        <w:rPr/>
        <w:t>marque contestée à la marque antérieure et lui attribuer les mêmes qualités.</w:t>
      </w:r>
    </w:p>
    <w:p>
      <w:pPr>
        <w:pStyle w:val="BodyText"/>
      </w:pPr>
    </w:p>
    <w:p>
      <w:pPr>
        <w:pStyle w:val="BodyText"/>
        <w:ind w:left="3" w:right="152"/>
        <w:jc w:val="both"/>
      </w:pPr>
      <w:r>
        <w:rPr/>
        <w:t>En d’autres termes, dès lors que la marque contestée est susceptible d’évoquer la marque antérieure,</w:t>
      </w:r>
      <w:r>
        <w:rPr>
          <w:spacing w:val="-2"/>
        </w:rPr>
        <w:t> </w:t>
      </w:r>
      <w:r>
        <w:rPr/>
        <w:t>laquelle</w:t>
      </w:r>
      <w:r>
        <w:rPr>
          <w:spacing w:val="-2"/>
        </w:rPr>
        <w:t> </w:t>
      </w:r>
      <w:r>
        <w:rPr/>
        <w:t>jouit</w:t>
      </w:r>
      <w:r>
        <w:rPr>
          <w:spacing w:val="-2"/>
        </w:rPr>
        <w:t> </w:t>
      </w:r>
      <w:r>
        <w:rPr/>
        <w:t>d’une</w:t>
      </w:r>
      <w:r>
        <w:rPr>
          <w:spacing w:val="-4"/>
        </w:rPr>
        <w:t> </w:t>
      </w:r>
      <w:r>
        <w:rPr/>
        <w:t>forte</w:t>
      </w:r>
      <w:r>
        <w:rPr>
          <w:spacing w:val="-2"/>
        </w:rPr>
        <w:t> </w:t>
      </w:r>
      <w:r>
        <w:rPr/>
        <w:t>renommée,</w:t>
      </w:r>
      <w:r>
        <w:rPr>
          <w:spacing w:val="-2"/>
        </w:rPr>
        <w:t> </w:t>
      </w:r>
      <w:r>
        <w:rPr/>
        <w:t>elle</w:t>
      </w:r>
      <w:r>
        <w:rPr>
          <w:spacing w:val="-1"/>
        </w:rPr>
        <w:t> </w:t>
      </w:r>
      <w:r>
        <w:rPr/>
        <w:t>pourrait</w:t>
      </w:r>
      <w:r>
        <w:rPr>
          <w:spacing w:val="-3"/>
        </w:rPr>
        <w:t> </w:t>
      </w:r>
      <w:r>
        <w:rPr/>
        <w:t>facilement</w:t>
      </w:r>
      <w:r>
        <w:rPr>
          <w:spacing w:val="-1"/>
        </w:rPr>
        <w:t> </w:t>
      </w:r>
      <w:r>
        <w:rPr/>
        <w:t>bénéficier des</w:t>
      </w:r>
      <w:r>
        <w:rPr>
          <w:spacing w:val="-3"/>
        </w:rPr>
        <w:t> </w:t>
      </w:r>
      <w:r>
        <w:rPr/>
        <w:t>valeurs véhiculées par la marque antérieure SAUVAGE qui est considérée comme incarnant des qualités visiblement appréciées par le public.</w:t>
      </w:r>
    </w:p>
    <w:p>
      <w:pPr>
        <w:pStyle w:val="BodyText"/>
      </w:pPr>
    </w:p>
    <w:p>
      <w:pPr>
        <w:pStyle w:val="BodyText"/>
        <w:ind w:left="3" w:right="151"/>
        <w:jc w:val="both"/>
      </w:pPr>
      <w:r>
        <w:rPr/>
        <w:t>Ceci rendrait nécessairement la marque contestée plus attrayante pour le public, et permettrait à la déposante de bénéficier du pouvoir attractif et de la forte renommée de la marque antérieure sans devoir faire des efforts promotionnels. En particulier, la marque contestée est susceptible de bénéficier du pouvoir d'attraction, de la réputation et du prestige de la marque</w:t>
      </w:r>
    </w:p>
    <w:p>
      <w:pPr>
        <w:pStyle w:val="BodyText"/>
        <w:spacing w:after="0"/>
        <w:jc w:val="both"/>
        <w:sectPr>
          <w:pgSz w:w="11910" w:h="16840"/>
          <w:pgMar w:header="0" w:footer="347" w:top="1900" w:bottom="540" w:left="1417" w:right="1275"/>
        </w:sectPr>
      </w:pPr>
    </w:p>
    <w:p>
      <w:pPr>
        <w:pStyle w:val="BodyText"/>
        <w:spacing w:before="68"/>
        <w:ind w:left="3" w:right="155"/>
        <w:jc w:val="both"/>
      </w:pPr>
      <w:r>
        <w:rPr/>
        <w:t>antérieure et ainsi d’exploiter - sans verser de compensation financière, et sans être tenu de faire des efforts propres à cet égard - l'effort promotionnel et de marketing réalisé par l'opposante pour créer et entretenir l'image de la marque antérieure.</w:t>
      </w:r>
    </w:p>
    <w:p>
      <w:pPr>
        <w:pStyle w:val="BodyText"/>
      </w:pPr>
    </w:p>
    <w:p>
      <w:pPr>
        <w:pStyle w:val="BodyText"/>
        <w:ind w:left="3" w:right="153"/>
        <w:jc w:val="both"/>
      </w:pPr>
      <w:r>
        <w:rPr/>
        <w:t>Ainsi, les qualités positives évoquées par la marque antérieure étant susceptibles d'être transférées aux services désignés par la demande contestée et, dès lors, de renforcer son pouvoir d'attraction du fait de sa similitude avec la marque antérieure, il en résulte que la marque contestée est susceptible de tirer indûment profit de la renommée de la marque antérieure et qu’elle lui porte donc atteinte.</w:t>
      </w:r>
    </w:p>
    <w:p>
      <w:pPr>
        <w:pStyle w:val="BodyText"/>
      </w:pPr>
    </w:p>
    <w:p>
      <w:pPr>
        <w:pStyle w:val="BodyText"/>
        <w:spacing w:before="20"/>
      </w:pPr>
    </w:p>
    <w:p>
      <w:pPr>
        <w:pStyle w:val="Heading1"/>
      </w:pPr>
      <w:r>
        <w:rPr>
          <w:spacing w:val="-2"/>
          <w:w w:val="105"/>
        </w:rPr>
        <w:t>CONCLUSION</w:t>
      </w:r>
    </w:p>
    <w:p>
      <w:pPr>
        <w:pStyle w:val="BodyText"/>
        <w:spacing w:before="21"/>
        <w:rPr>
          <w:rFonts w:ascii="Cambria"/>
          <w:b/>
        </w:rPr>
      </w:pPr>
    </w:p>
    <w:p>
      <w:pPr>
        <w:spacing w:before="0"/>
        <w:ind w:left="3" w:right="141" w:firstLine="0"/>
        <w:jc w:val="both"/>
        <w:rPr>
          <w:sz w:val="24"/>
        </w:rPr>
      </w:pPr>
      <w:r>
        <w:rPr>
          <w:sz w:val="24"/>
        </w:rPr>
        <w:t>En conséquence,</w:t>
      </w:r>
      <w:r>
        <w:rPr>
          <w:spacing w:val="-1"/>
          <w:sz w:val="24"/>
        </w:rPr>
        <w:t> </w:t>
      </w:r>
      <w:r>
        <w:rPr>
          <w:sz w:val="24"/>
        </w:rPr>
        <w:t>en raison de l’atteinte à la renommée de la marque antérieure SAUVAGE</w:t>
      </w:r>
      <w:r>
        <w:rPr>
          <w:spacing w:val="-1"/>
          <w:sz w:val="24"/>
        </w:rPr>
        <w:t> </w:t>
      </w:r>
      <w:r>
        <w:rPr>
          <w:sz w:val="24"/>
        </w:rPr>
        <w:t>n° 4060262,</w:t>
      </w:r>
      <w:r>
        <w:rPr>
          <w:spacing w:val="-4"/>
          <w:sz w:val="24"/>
        </w:rPr>
        <w:t> </w:t>
      </w:r>
      <w:r>
        <w:rPr>
          <w:sz w:val="24"/>
        </w:rPr>
        <w:t>la</w:t>
      </w:r>
      <w:r>
        <w:rPr>
          <w:spacing w:val="-3"/>
          <w:sz w:val="24"/>
        </w:rPr>
        <w:t> </w:t>
      </w:r>
      <w:r>
        <w:rPr>
          <w:sz w:val="24"/>
        </w:rPr>
        <w:t>demande</w:t>
      </w:r>
      <w:r>
        <w:rPr>
          <w:spacing w:val="-1"/>
          <w:sz w:val="24"/>
        </w:rPr>
        <w:t> </w:t>
      </w:r>
      <w:r>
        <w:rPr>
          <w:sz w:val="24"/>
        </w:rPr>
        <w:t>d’enregistrement</w:t>
      </w:r>
      <w:r>
        <w:rPr>
          <w:spacing w:val="-1"/>
          <w:sz w:val="24"/>
        </w:rPr>
        <w:t> </w:t>
      </w:r>
      <w:r>
        <w:rPr>
          <w:sz w:val="24"/>
        </w:rPr>
        <w:t>contestée L'APPARTEMENT</w:t>
      </w:r>
      <w:r>
        <w:rPr>
          <w:spacing w:val="-3"/>
          <w:sz w:val="24"/>
        </w:rPr>
        <w:t> </w:t>
      </w:r>
      <w:r>
        <w:rPr>
          <w:sz w:val="24"/>
        </w:rPr>
        <w:t>SAUVAGE ne</w:t>
      </w:r>
      <w:r>
        <w:rPr>
          <w:spacing w:val="-3"/>
          <w:sz w:val="24"/>
        </w:rPr>
        <w:t> </w:t>
      </w:r>
      <w:r>
        <w:rPr>
          <w:sz w:val="24"/>
        </w:rPr>
        <w:t>peut</w:t>
      </w:r>
      <w:r>
        <w:rPr>
          <w:spacing w:val="-3"/>
          <w:sz w:val="24"/>
        </w:rPr>
        <w:t> </w:t>
      </w:r>
      <w:r>
        <w:rPr>
          <w:sz w:val="24"/>
        </w:rPr>
        <w:t>pas être adoptée comme marque pour désigner les services suivants : « </w:t>
      </w:r>
      <w:r>
        <w:rPr>
          <w:i/>
          <w:sz w:val="24"/>
        </w:rPr>
        <w:t>Services de restauration (alimentation) ; hébergement temporaire ; services de bars ; services de traiteurs ; services hôteliers ; réservation de logements temporaires </w:t>
      </w:r>
      <w:r>
        <w:rPr>
          <w:sz w:val="24"/>
        </w:rPr>
        <w:t>».</w:t>
      </w:r>
    </w:p>
    <w:p>
      <w:pPr>
        <w:pStyle w:val="BodyText"/>
      </w:pPr>
    </w:p>
    <w:p>
      <w:pPr>
        <w:pStyle w:val="BodyText"/>
      </w:pPr>
    </w:p>
    <w:p>
      <w:pPr>
        <w:pStyle w:val="BodyText"/>
      </w:pPr>
    </w:p>
    <w:p>
      <w:pPr>
        <w:pStyle w:val="BodyText"/>
      </w:pPr>
    </w:p>
    <w:p>
      <w:pPr>
        <w:pStyle w:val="BodyText"/>
        <w:spacing w:before="22"/>
      </w:pPr>
    </w:p>
    <w:p>
      <w:pPr>
        <w:pStyle w:val="Heading1"/>
        <w:spacing w:before="1"/>
      </w:pPr>
      <w:r>
        <w:rPr>
          <w:w w:val="105"/>
        </w:rPr>
        <w:t>PAR</w:t>
      </w:r>
      <w:r>
        <w:rPr>
          <w:spacing w:val="-13"/>
          <w:w w:val="105"/>
        </w:rPr>
        <w:t> </w:t>
      </w:r>
      <w:r>
        <w:rPr>
          <w:w w:val="105"/>
        </w:rPr>
        <w:t>CES</w:t>
      </w:r>
      <w:r>
        <w:rPr>
          <w:spacing w:val="-12"/>
          <w:w w:val="105"/>
        </w:rPr>
        <w:t> </w:t>
      </w:r>
      <w:r>
        <w:rPr>
          <w:spacing w:val="-2"/>
          <w:w w:val="105"/>
        </w:rPr>
        <w:t>MOTIFS</w:t>
      </w:r>
    </w:p>
    <w:p>
      <w:pPr>
        <w:pStyle w:val="BodyText"/>
        <w:rPr>
          <w:rFonts w:ascii="Cambria"/>
          <w:b/>
        </w:rPr>
      </w:pPr>
    </w:p>
    <w:p>
      <w:pPr>
        <w:pStyle w:val="BodyText"/>
        <w:spacing w:before="141"/>
        <w:rPr>
          <w:rFonts w:ascii="Cambria"/>
          <w:b/>
        </w:rPr>
      </w:pPr>
    </w:p>
    <w:p>
      <w:pPr>
        <w:spacing w:before="1"/>
        <w:ind w:left="2" w:right="138" w:firstLine="0"/>
        <w:jc w:val="center"/>
        <w:rPr>
          <w:rFonts w:ascii="Cambria" w:hAnsi="Cambria"/>
          <w:b/>
          <w:sz w:val="24"/>
        </w:rPr>
      </w:pPr>
      <w:r>
        <w:rPr>
          <w:rFonts w:ascii="Cambria" w:hAnsi="Cambria"/>
          <w:b/>
          <w:spacing w:val="-2"/>
          <w:w w:val="105"/>
          <w:sz w:val="24"/>
        </w:rPr>
        <w:t>DÉCIDE</w:t>
      </w:r>
    </w:p>
    <w:p>
      <w:pPr>
        <w:pStyle w:val="BodyText"/>
        <w:rPr>
          <w:rFonts w:ascii="Cambria"/>
          <w:b/>
        </w:rPr>
      </w:pPr>
    </w:p>
    <w:p>
      <w:pPr>
        <w:pStyle w:val="BodyText"/>
        <w:rPr>
          <w:rFonts w:ascii="Cambria"/>
          <w:b/>
        </w:rPr>
      </w:pPr>
    </w:p>
    <w:p>
      <w:pPr>
        <w:pStyle w:val="BodyText"/>
        <w:spacing w:before="190"/>
        <w:rPr>
          <w:rFonts w:ascii="Cambria"/>
          <w:b/>
        </w:rPr>
      </w:pPr>
    </w:p>
    <w:p>
      <w:pPr>
        <w:spacing w:line="252" w:lineRule="auto" w:before="0"/>
        <w:ind w:left="3" w:right="149" w:firstLine="0"/>
        <w:jc w:val="both"/>
        <w:rPr>
          <w:sz w:val="24"/>
        </w:rPr>
      </w:pPr>
      <w:r>
        <w:rPr>
          <w:rFonts w:ascii="Cambria" w:hAnsi="Cambria"/>
          <w:b/>
          <w:sz w:val="24"/>
        </w:rPr>
        <w:t>Article</w:t>
      </w:r>
      <w:r>
        <w:rPr>
          <w:rFonts w:ascii="Cambria" w:hAnsi="Cambria"/>
          <w:b/>
          <w:spacing w:val="-5"/>
          <w:sz w:val="24"/>
        </w:rPr>
        <w:t> </w:t>
      </w:r>
      <w:r>
        <w:rPr>
          <w:rFonts w:ascii="Cambria" w:hAnsi="Cambria"/>
          <w:b/>
          <w:sz w:val="24"/>
        </w:rPr>
        <w:t>1er</w:t>
      </w:r>
      <w:r>
        <w:rPr>
          <w:rFonts w:ascii="Cambria" w:hAnsi="Cambria"/>
          <w:b/>
          <w:spacing w:val="-5"/>
          <w:sz w:val="24"/>
        </w:rPr>
        <w:t> </w:t>
      </w:r>
      <w:r>
        <w:rPr>
          <w:rFonts w:ascii="Cambria" w:hAnsi="Cambria"/>
          <w:b/>
          <w:sz w:val="24"/>
        </w:rPr>
        <w:t>:</w:t>
      </w:r>
      <w:r>
        <w:rPr>
          <w:rFonts w:ascii="Cambria" w:hAnsi="Cambria"/>
          <w:b/>
          <w:spacing w:val="80"/>
          <w:sz w:val="24"/>
        </w:rPr>
        <w:t>  </w:t>
      </w:r>
      <w:r>
        <w:rPr>
          <w:sz w:val="24"/>
        </w:rPr>
        <w:t>L'opposition</w:t>
      </w:r>
      <w:r>
        <w:rPr>
          <w:spacing w:val="40"/>
          <w:sz w:val="24"/>
        </w:rPr>
        <w:t> </w:t>
      </w:r>
      <w:r>
        <w:rPr>
          <w:sz w:val="24"/>
        </w:rPr>
        <w:t>est</w:t>
      </w:r>
      <w:r>
        <w:rPr>
          <w:spacing w:val="40"/>
          <w:sz w:val="24"/>
        </w:rPr>
        <w:t> </w:t>
      </w:r>
      <w:r>
        <w:rPr>
          <w:sz w:val="24"/>
        </w:rPr>
        <w:t>reconnue</w:t>
      </w:r>
      <w:r>
        <w:rPr>
          <w:spacing w:val="40"/>
          <w:sz w:val="24"/>
        </w:rPr>
        <w:t> </w:t>
      </w:r>
      <w:r>
        <w:rPr>
          <w:sz w:val="24"/>
        </w:rPr>
        <w:t>justifiée</w:t>
      </w:r>
      <w:r>
        <w:rPr>
          <w:spacing w:val="40"/>
          <w:sz w:val="24"/>
        </w:rPr>
        <w:t> </w:t>
      </w:r>
      <w:r>
        <w:rPr>
          <w:sz w:val="24"/>
        </w:rPr>
        <w:t>en</w:t>
      </w:r>
      <w:r>
        <w:rPr>
          <w:spacing w:val="40"/>
          <w:sz w:val="24"/>
        </w:rPr>
        <w:t> </w:t>
      </w:r>
      <w:r>
        <w:rPr>
          <w:sz w:val="24"/>
        </w:rPr>
        <w:t>ce</w:t>
      </w:r>
      <w:r>
        <w:rPr>
          <w:spacing w:val="40"/>
          <w:sz w:val="24"/>
        </w:rPr>
        <w:t> </w:t>
      </w:r>
      <w:r>
        <w:rPr>
          <w:sz w:val="24"/>
        </w:rPr>
        <w:t>qu’elle</w:t>
      </w:r>
      <w:r>
        <w:rPr>
          <w:spacing w:val="40"/>
          <w:sz w:val="24"/>
        </w:rPr>
        <w:t> </w:t>
      </w:r>
      <w:r>
        <w:rPr>
          <w:sz w:val="24"/>
        </w:rPr>
        <w:t>porte</w:t>
      </w:r>
      <w:r>
        <w:rPr>
          <w:spacing w:val="40"/>
          <w:sz w:val="24"/>
        </w:rPr>
        <w:t> </w:t>
      </w:r>
      <w:r>
        <w:rPr>
          <w:sz w:val="24"/>
        </w:rPr>
        <w:t>sur</w:t>
      </w:r>
      <w:r>
        <w:rPr>
          <w:spacing w:val="40"/>
          <w:sz w:val="24"/>
        </w:rPr>
        <w:t> </w:t>
      </w:r>
      <w:r>
        <w:rPr>
          <w:sz w:val="24"/>
        </w:rPr>
        <w:t>les</w:t>
      </w:r>
      <w:r>
        <w:rPr>
          <w:spacing w:val="40"/>
          <w:sz w:val="24"/>
        </w:rPr>
        <w:t> </w:t>
      </w:r>
      <w:r>
        <w:rPr>
          <w:sz w:val="24"/>
        </w:rPr>
        <w:t>services suivants « </w:t>
      </w:r>
      <w:r>
        <w:rPr>
          <w:i/>
          <w:sz w:val="24"/>
        </w:rPr>
        <w:t>Services de restauration (alimentation) ; hébergement temporaire ; services de</w:t>
      </w:r>
      <w:r>
        <w:rPr>
          <w:i/>
          <w:spacing w:val="40"/>
          <w:sz w:val="24"/>
        </w:rPr>
        <w:t> </w:t>
      </w:r>
      <w:r>
        <w:rPr>
          <w:i/>
          <w:sz w:val="24"/>
        </w:rPr>
        <w:t>bars ; services de traiteurs ; services hôteliers ; réservation de logements temporaires </w:t>
      </w:r>
      <w:r>
        <w:rPr>
          <w:sz w:val="24"/>
        </w:rPr>
        <w:t>».</w:t>
      </w:r>
    </w:p>
    <w:p>
      <w:pPr>
        <w:pStyle w:val="BodyText"/>
        <w:spacing w:before="7"/>
      </w:pPr>
    </w:p>
    <w:p>
      <w:pPr>
        <w:pStyle w:val="BodyText"/>
        <w:tabs>
          <w:tab w:pos="1702" w:val="left" w:leader="none"/>
        </w:tabs>
        <w:spacing w:line="261" w:lineRule="auto"/>
        <w:ind w:left="3" w:right="152"/>
        <w:jc w:val="both"/>
      </w:pPr>
      <w:r>
        <w:rPr>
          <w:rFonts w:ascii="Cambria" w:hAnsi="Cambria"/>
          <w:b/>
        </w:rPr>
        <w:t>Article 2 :</w:t>
        <w:tab/>
      </w:r>
      <w:r>
        <w:rPr/>
        <w:t>La demande d'enregistrement est partiellement rejetée, pour les services </w:t>
      </w:r>
      <w:r>
        <w:rPr>
          <w:spacing w:val="-2"/>
        </w:rPr>
        <w:t>précités.</w:t>
      </w:r>
    </w:p>
    <w:sectPr>
      <w:pgSz w:w="11910" w:h="16840"/>
      <w:pgMar w:header="0" w:footer="347" w:top="1900" w:bottom="54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Black">
    <w:altName w:val="Arial Black"/>
    <w:charset w:val="1"/>
    <w:family w:val="swiss"/>
    <w:pitch w:val="variable"/>
  </w:font>
  <w:font w:name="Calibri">
    <w:altName w:val="Calibri"/>
    <w:charset w:val="1"/>
    <w:family w:val="roman"/>
    <w:pitch w:val="variable"/>
  </w:font>
  <w:font w:name="Arial MT">
    <w:altName w:val="Arial MT"/>
    <w:charset w:val="1"/>
    <w:family w:val="swiss"/>
    <w:pitch w:val="variable"/>
  </w:font>
  <w:font w:name="Arial">
    <w:altName w:val="Arial"/>
    <w:charset w:val="1"/>
    <w:family w:val="swiss"/>
    <w:pitch w:val="variable"/>
  </w:font>
  <w:font w:name="Cambria">
    <w:altName w:val="Cambria"/>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54208">
          <wp:simplePos x="0" y="0"/>
          <wp:positionH relativeFrom="page">
            <wp:posOffset>41616</wp:posOffset>
          </wp:positionH>
          <wp:positionV relativeFrom="page">
            <wp:posOffset>10344542</wp:posOffset>
          </wp:positionV>
          <wp:extent cx="7435510" cy="23163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3" w:hanging="360"/>
      </w:pPr>
      <w:rPr>
        <w:rFonts w:hint="default" w:ascii="Wingdings" w:hAnsi="Wingdings" w:eastAsia="Wingdings" w:cs="Wingdings"/>
        <w:b w:val="0"/>
        <w:bCs w:val="0"/>
        <w:i w:val="0"/>
        <w:iCs w:val="0"/>
        <w:spacing w:val="0"/>
        <w:w w:val="100"/>
        <w:sz w:val="24"/>
        <w:szCs w:val="24"/>
        <w:lang w:val="fr-FR" w:eastAsia="en-US" w:bidi="ar-SA"/>
      </w:rPr>
    </w:lvl>
    <w:lvl w:ilvl="1">
      <w:start w:val="0"/>
      <w:numFmt w:val="bullet"/>
      <w:lvlText w:val="•"/>
      <w:lvlJc w:val="left"/>
      <w:pPr>
        <w:ind w:left="1569" w:hanging="360"/>
      </w:pPr>
      <w:rPr>
        <w:rFonts w:hint="default"/>
        <w:lang w:val="fr-FR" w:eastAsia="en-US" w:bidi="ar-SA"/>
      </w:rPr>
    </w:lvl>
    <w:lvl w:ilvl="2">
      <w:start w:val="0"/>
      <w:numFmt w:val="bullet"/>
      <w:lvlText w:val="•"/>
      <w:lvlJc w:val="left"/>
      <w:pPr>
        <w:ind w:left="2418" w:hanging="360"/>
      </w:pPr>
      <w:rPr>
        <w:rFonts w:hint="default"/>
        <w:lang w:val="fr-FR" w:eastAsia="en-US" w:bidi="ar-SA"/>
      </w:rPr>
    </w:lvl>
    <w:lvl w:ilvl="3">
      <w:start w:val="0"/>
      <w:numFmt w:val="bullet"/>
      <w:lvlText w:val="•"/>
      <w:lvlJc w:val="left"/>
      <w:pPr>
        <w:ind w:left="3268" w:hanging="360"/>
      </w:pPr>
      <w:rPr>
        <w:rFonts w:hint="default"/>
        <w:lang w:val="fr-FR" w:eastAsia="en-US" w:bidi="ar-SA"/>
      </w:rPr>
    </w:lvl>
    <w:lvl w:ilvl="4">
      <w:start w:val="0"/>
      <w:numFmt w:val="bullet"/>
      <w:lvlText w:val="•"/>
      <w:lvlJc w:val="left"/>
      <w:pPr>
        <w:ind w:left="4117" w:hanging="360"/>
      </w:pPr>
      <w:rPr>
        <w:rFonts w:hint="default"/>
        <w:lang w:val="fr-FR" w:eastAsia="en-US" w:bidi="ar-SA"/>
      </w:rPr>
    </w:lvl>
    <w:lvl w:ilvl="5">
      <w:start w:val="0"/>
      <w:numFmt w:val="bullet"/>
      <w:lvlText w:val="•"/>
      <w:lvlJc w:val="left"/>
      <w:pPr>
        <w:ind w:left="4967" w:hanging="360"/>
      </w:pPr>
      <w:rPr>
        <w:rFonts w:hint="default"/>
        <w:lang w:val="fr-FR" w:eastAsia="en-US" w:bidi="ar-SA"/>
      </w:rPr>
    </w:lvl>
    <w:lvl w:ilvl="6">
      <w:start w:val="0"/>
      <w:numFmt w:val="bullet"/>
      <w:lvlText w:val="•"/>
      <w:lvlJc w:val="left"/>
      <w:pPr>
        <w:ind w:left="5816" w:hanging="360"/>
      </w:pPr>
      <w:rPr>
        <w:rFonts w:hint="default"/>
        <w:lang w:val="fr-FR" w:eastAsia="en-US" w:bidi="ar-SA"/>
      </w:rPr>
    </w:lvl>
    <w:lvl w:ilvl="7">
      <w:start w:val="0"/>
      <w:numFmt w:val="bullet"/>
      <w:lvlText w:val="•"/>
      <w:lvlJc w:val="left"/>
      <w:pPr>
        <w:ind w:left="6665" w:hanging="360"/>
      </w:pPr>
      <w:rPr>
        <w:rFonts w:hint="default"/>
        <w:lang w:val="fr-FR" w:eastAsia="en-US" w:bidi="ar-SA"/>
      </w:rPr>
    </w:lvl>
    <w:lvl w:ilvl="8">
      <w:start w:val="0"/>
      <w:numFmt w:val="bullet"/>
      <w:lvlText w:val="•"/>
      <w:lvlJc w:val="left"/>
      <w:pPr>
        <w:ind w:left="7515" w:hanging="360"/>
      </w:pPr>
      <w:rPr>
        <w:rFonts w:hint="default"/>
        <w:lang w:val="fr-FR" w:eastAsia="en-US" w:bidi="ar-SA"/>
      </w:rPr>
    </w:lvl>
  </w:abstractNum>
  <w:abstractNum w:abstractNumId="0">
    <w:multiLevelType w:val="hybridMultilevel"/>
    <w:lvl w:ilvl="0">
      <w:start w:val="0"/>
      <w:numFmt w:val="bullet"/>
      <w:lvlText w:val="-"/>
      <w:lvlJc w:val="left"/>
      <w:pPr>
        <w:ind w:left="723" w:hanging="360"/>
      </w:pPr>
      <w:rPr>
        <w:rFonts w:hint="default" w:ascii="Calibri" w:hAnsi="Calibri" w:eastAsia="Calibri" w:cs="Calibri"/>
        <w:b w:val="0"/>
        <w:bCs w:val="0"/>
        <w:i w:val="0"/>
        <w:iCs w:val="0"/>
        <w:spacing w:val="0"/>
        <w:w w:val="100"/>
        <w:sz w:val="24"/>
        <w:szCs w:val="24"/>
        <w:lang w:val="fr-FR" w:eastAsia="en-US" w:bidi="ar-SA"/>
      </w:rPr>
    </w:lvl>
    <w:lvl w:ilvl="1">
      <w:start w:val="0"/>
      <w:numFmt w:val="bullet"/>
      <w:lvlText w:val="•"/>
      <w:lvlJc w:val="left"/>
      <w:pPr>
        <w:ind w:left="1569" w:hanging="360"/>
      </w:pPr>
      <w:rPr>
        <w:rFonts w:hint="default"/>
        <w:lang w:val="fr-FR" w:eastAsia="en-US" w:bidi="ar-SA"/>
      </w:rPr>
    </w:lvl>
    <w:lvl w:ilvl="2">
      <w:start w:val="0"/>
      <w:numFmt w:val="bullet"/>
      <w:lvlText w:val="•"/>
      <w:lvlJc w:val="left"/>
      <w:pPr>
        <w:ind w:left="2418" w:hanging="360"/>
      </w:pPr>
      <w:rPr>
        <w:rFonts w:hint="default"/>
        <w:lang w:val="fr-FR" w:eastAsia="en-US" w:bidi="ar-SA"/>
      </w:rPr>
    </w:lvl>
    <w:lvl w:ilvl="3">
      <w:start w:val="0"/>
      <w:numFmt w:val="bullet"/>
      <w:lvlText w:val="•"/>
      <w:lvlJc w:val="left"/>
      <w:pPr>
        <w:ind w:left="3268" w:hanging="360"/>
      </w:pPr>
      <w:rPr>
        <w:rFonts w:hint="default"/>
        <w:lang w:val="fr-FR" w:eastAsia="en-US" w:bidi="ar-SA"/>
      </w:rPr>
    </w:lvl>
    <w:lvl w:ilvl="4">
      <w:start w:val="0"/>
      <w:numFmt w:val="bullet"/>
      <w:lvlText w:val="•"/>
      <w:lvlJc w:val="left"/>
      <w:pPr>
        <w:ind w:left="4117" w:hanging="360"/>
      </w:pPr>
      <w:rPr>
        <w:rFonts w:hint="default"/>
        <w:lang w:val="fr-FR" w:eastAsia="en-US" w:bidi="ar-SA"/>
      </w:rPr>
    </w:lvl>
    <w:lvl w:ilvl="5">
      <w:start w:val="0"/>
      <w:numFmt w:val="bullet"/>
      <w:lvlText w:val="•"/>
      <w:lvlJc w:val="left"/>
      <w:pPr>
        <w:ind w:left="4967" w:hanging="360"/>
      </w:pPr>
      <w:rPr>
        <w:rFonts w:hint="default"/>
        <w:lang w:val="fr-FR" w:eastAsia="en-US" w:bidi="ar-SA"/>
      </w:rPr>
    </w:lvl>
    <w:lvl w:ilvl="6">
      <w:start w:val="0"/>
      <w:numFmt w:val="bullet"/>
      <w:lvlText w:val="•"/>
      <w:lvlJc w:val="left"/>
      <w:pPr>
        <w:ind w:left="5816" w:hanging="360"/>
      </w:pPr>
      <w:rPr>
        <w:rFonts w:hint="default"/>
        <w:lang w:val="fr-FR" w:eastAsia="en-US" w:bidi="ar-SA"/>
      </w:rPr>
    </w:lvl>
    <w:lvl w:ilvl="7">
      <w:start w:val="0"/>
      <w:numFmt w:val="bullet"/>
      <w:lvlText w:val="•"/>
      <w:lvlJc w:val="left"/>
      <w:pPr>
        <w:ind w:left="6665" w:hanging="360"/>
      </w:pPr>
      <w:rPr>
        <w:rFonts w:hint="default"/>
        <w:lang w:val="fr-FR" w:eastAsia="en-US" w:bidi="ar-SA"/>
      </w:rPr>
    </w:lvl>
    <w:lvl w:ilvl="8">
      <w:start w:val="0"/>
      <w:numFmt w:val="bullet"/>
      <w:lvlText w:val="•"/>
      <w:lvlJc w:val="left"/>
      <w:pPr>
        <w:ind w:left="7515" w:hanging="360"/>
      </w:pPr>
      <w:rPr>
        <w:rFonts w:hint="default"/>
        <w:lang w:val="fr-F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ind w:left="3"/>
      <w:outlineLvl w:val="1"/>
    </w:pPr>
    <w:rPr>
      <w:rFonts w:ascii="Cambria" w:hAnsi="Cambria" w:eastAsia="Cambria" w:cs="Cambria"/>
      <w:b/>
      <w:bCs/>
      <w:sz w:val="24"/>
      <w:szCs w:val="24"/>
      <w:lang w:val="fr-FR" w:eastAsia="en-US" w:bidi="ar-SA"/>
    </w:rPr>
  </w:style>
  <w:style w:styleId="Heading2" w:type="paragraph">
    <w:name w:val="Heading 2"/>
    <w:basedOn w:val="Normal"/>
    <w:uiPriority w:val="1"/>
    <w:qFormat/>
    <w:pPr>
      <w:ind w:left="722" w:hanging="359"/>
      <w:outlineLvl w:val="2"/>
    </w:pPr>
    <w:rPr>
      <w:rFonts w:ascii="Cambria" w:hAnsi="Cambria" w:eastAsia="Cambria" w:cs="Cambria"/>
      <w:b/>
      <w:bCs/>
      <w:sz w:val="24"/>
      <w:szCs w:val="24"/>
      <w:lang w:val="fr-FR" w:eastAsia="en-US" w:bidi="ar-SA"/>
    </w:rPr>
  </w:style>
  <w:style w:styleId="Title" w:type="paragraph">
    <w:name w:val="Title"/>
    <w:basedOn w:val="Normal"/>
    <w:uiPriority w:val="1"/>
    <w:qFormat/>
    <w:pPr>
      <w:ind w:right="138"/>
      <w:jc w:val="center"/>
    </w:pPr>
    <w:rPr>
      <w:rFonts w:ascii="Cambria" w:hAnsi="Cambria" w:eastAsia="Cambria" w:cs="Cambria"/>
      <w:b/>
      <w:bCs/>
      <w:sz w:val="32"/>
      <w:szCs w:val="32"/>
      <w:lang w:val="fr-FR" w:eastAsia="en-US" w:bidi="ar-SA"/>
    </w:rPr>
  </w:style>
  <w:style w:styleId="ListParagraph" w:type="paragraph">
    <w:name w:val="List Paragraph"/>
    <w:basedOn w:val="Normal"/>
    <w:uiPriority w:val="1"/>
    <w:qFormat/>
    <w:pPr>
      <w:ind w:left="723" w:hanging="360"/>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inpi.fr/" TargetMode="External"/><Relationship Id="rId8" Type="http://schemas.openxmlformats.org/officeDocument/2006/relationships/hyperlink" Target="mailto:contact@inpi.fr" TargetMode="External"/><Relationship Id="rId9" Type="http://schemas.openxmlformats.org/officeDocument/2006/relationships/footer" Target="footer1.xml"/><Relationship Id="rId10" Type="http://schemas.openxmlformats.org/officeDocument/2006/relationships/hyperlink" Target="http://www.gentside.com/" TargetMode="External"/><Relationship Id="rId11" Type="http://schemas.openxmlformats.org/officeDocument/2006/relationships/hyperlink" Target="http://www.gqmagazine.fr/" TargetMode="External"/><Relationship Id="rId12" Type="http://schemas.openxmlformats.org/officeDocument/2006/relationships/hyperlink" Target="http://www.journaldesfemmes.fr/" TargetMode="External"/><Relationship Id="rId13" Type="http://schemas.openxmlformats.org/officeDocument/2006/relationships/hyperlink" Target="http://www.lejdd.fr/" TargetMode="External"/><Relationship Id="rId14" Type="http://schemas.openxmlformats.org/officeDocument/2006/relationships/hyperlink" Target="http://www.lvmh.fr/" TargetMode="Externa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2025-06-12T09:55:02Z</dcterms:created>
  <dcterms:modified xsi:type="dcterms:W3CDTF">2025-06-12T09:55:02Z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LastSaved">
    <vt:filetime>2025-06-12T00:00:00Z</vt:filetime>
  </property>
  <property fmtid="{D5CDD505-2E9C-101B-9397-08002B2CF9AE}" pid="4" name="Producer">
    <vt:lpwstr>PyPDF2</vt:lpwstr>
  </property>
</Properties>
</file>